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FC096" w14:textId="77777777" w:rsidR="00AB3CE0" w:rsidRPr="00401057" w:rsidRDefault="00AB3CE0" w:rsidP="00401057">
      <w:pPr>
        <w:rPr>
          <w:rFonts w:ascii="Times New Roman" w:hAnsi="Times New Roman" w:cs="Times New Roman"/>
        </w:rPr>
      </w:pPr>
      <w:bookmarkStart w:id="0" w:name="_GoBack"/>
      <w:bookmarkEnd w:id="0"/>
    </w:p>
    <w:p w14:paraId="456D31F5" w14:textId="77777777" w:rsidR="007A4070" w:rsidRPr="00401057" w:rsidRDefault="007A4070" w:rsidP="00401057"/>
    <w:p w14:paraId="09226D35" w14:textId="36FF87DD" w:rsidR="007A4070" w:rsidRPr="00401057" w:rsidRDefault="00AB3CE0" w:rsidP="00401057">
      <w:pPr>
        <w:pStyle w:val="DecHTitle"/>
      </w:pPr>
      <w:r w:rsidRPr="00401057">
        <w:t>PREMIÈRE SECTION</w:t>
      </w:r>
    </w:p>
    <w:p w14:paraId="08C43EA2" w14:textId="16B3DECA" w:rsidR="007A4070" w:rsidRPr="00401057" w:rsidRDefault="007A4070" w:rsidP="00401057">
      <w:pPr>
        <w:pStyle w:val="JuTitle"/>
      </w:pPr>
      <w:r w:rsidRPr="00401057">
        <w:t xml:space="preserve">AFFAIRE </w:t>
      </w:r>
      <w:r w:rsidR="00AB3CE0" w:rsidRPr="00401057">
        <w:t xml:space="preserve">VERRASCINA </w:t>
      </w:r>
      <w:r w:rsidR="00964D56" w:rsidRPr="00401057">
        <w:t xml:space="preserve">ET AUTRES </w:t>
      </w:r>
      <w:r w:rsidR="00AB3CE0" w:rsidRPr="00401057">
        <w:t>c. ITALIE</w:t>
      </w:r>
    </w:p>
    <w:p w14:paraId="75935D69" w14:textId="7EC442E3" w:rsidR="00AB3CE0" w:rsidRPr="00401057" w:rsidRDefault="007A4070" w:rsidP="00401057">
      <w:pPr>
        <w:pStyle w:val="ECHRCoverTitle4"/>
      </w:pPr>
      <w:r w:rsidRPr="00401057">
        <w:t>(</w:t>
      </w:r>
      <w:r w:rsidR="00AB3CE0" w:rsidRPr="00401057">
        <w:t>Requête</w:t>
      </w:r>
      <w:r w:rsidR="0010058D" w:rsidRPr="00401057">
        <w:t>s</w:t>
      </w:r>
      <w:r w:rsidR="00AB3CE0" w:rsidRPr="00401057">
        <w:t xml:space="preserve"> n</w:t>
      </w:r>
      <w:r w:rsidR="00AB3CE0" w:rsidRPr="00401057">
        <w:rPr>
          <w:vertAlign w:val="superscript"/>
        </w:rPr>
        <w:t>o</w:t>
      </w:r>
      <w:r w:rsidR="0010058D" w:rsidRPr="00401057">
        <w:rPr>
          <w:vertAlign w:val="superscript"/>
        </w:rPr>
        <w:t>s</w:t>
      </w:r>
      <w:r w:rsidRPr="00401057">
        <w:t xml:space="preserve"> </w:t>
      </w:r>
      <w:r w:rsidR="00AB3CE0" w:rsidRPr="00401057">
        <w:t>15566/13 et 5 autres –</w:t>
      </w:r>
    </w:p>
    <w:p w14:paraId="7A4E0A62" w14:textId="0018B69A" w:rsidR="007A4070" w:rsidRPr="00401057" w:rsidRDefault="00AB3CE0" w:rsidP="00401057">
      <w:pPr>
        <w:pStyle w:val="ECHRCoverTitle4"/>
      </w:pPr>
      <w:r w:rsidRPr="00401057">
        <w:t>voir liste en annexe</w:t>
      </w:r>
      <w:r w:rsidR="007A4070" w:rsidRPr="00401057">
        <w:t>)</w:t>
      </w:r>
    </w:p>
    <w:p w14:paraId="1EF14AC3" w14:textId="77777777" w:rsidR="007A4070" w:rsidRPr="00401057" w:rsidRDefault="007A4070" w:rsidP="00401057">
      <w:pPr>
        <w:pStyle w:val="DecHCase"/>
      </w:pPr>
    </w:p>
    <w:p w14:paraId="003F3566" w14:textId="77777777" w:rsidR="007A4070" w:rsidRPr="00401057" w:rsidRDefault="007A4070" w:rsidP="00401057">
      <w:pPr>
        <w:pStyle w:val="DecHCase"/>
      </w:pPr>
    </w:p>
    <w:p w14:paraId="13F03EE2" w14:textId="77777777" w:rsidR="007A4070" w:rsidRPr="00401057" w:rsidRDefault="007A4070" w:rsidP="00401057">
      <w:pPr>
        <w:pStyle w:val="DecHCase"/>
      </w:pPr>
    </w:p>
    <w:p w14:paraId="4419E01B" w14:textId="77777777" w:rsidR="003651F7" w:rsidRPr="00401057" w:rsidRDefault="007A4070" w:rsidP="00401057">
      <w:pPr>
        <w:pStyle w:val="DecHCase"/>
      </w:pPr>
      <w:r w:rsidRPr="00401057">
        <w:t>ARRÊT</w:t>
      </w:r>
    </w:p>
    <w:p w14:paraId="269E4FF8" w14:textId="77777777" w:rsidR="003651F7" w:rsidRPr="00401057" w:rsidRDefault="003651F7" w:rsidP="00401057">
      <w:pPr>
        <w:pStyle w:val="DecHCase"/>
      </w:pPr>
    </w:p>
    <w:p w14:paraId="226E9824" w14:textId="6796B215" w:rsidR="003651F7" w:rsidRPr="00401057" w:rsidRDefault="003651F7" w:rsidP="00401057">
      <w:pPr>
        <w:pBdr>
          <w:top w:val="single" w:sz="4" w:space="1" w:color="auto"/>
          <w:left w:val="single" w:sz="4" w:space="4" w:color="auto"/>
          <w:bottom w:val="single" w:sz="4" w:space="1" w:color="auto"/>
          <w:right w:val="single" w:sz="4" w:space="4" w:color="auto"/>
        </w:pBdr>
        <w:jc w:val="both"/>
      </w:pPr>
      <w:r w:rsidRPr="00401057">
        <w:t>Art 35 § 1 • Épuisement des voies de recours internes • Recours prévu par la loi Pinto, à la suite de la réforme de 2012 de son article 4 et jusqu</w:t>
      </w:r>
      <w:r w:rsidR="00401057" w:rsidRPr="00401057">
        <w:t>’</w:t>
      </w:r>
      <w:r w:rsidRPr="00401057">
        <w:t>à l</w:t>
      </w:r>
      <w:r w:rsidR="00401057" w:rsidRPr="00401057">
        <w:t>’</w:t>
      </w:r>
      <w:r w:rsidRPr="00401057">
        <w:t>arrêt de la Cour constitutionnelle de 2018, n</w:t>
      </w:r>
      <w:r w:rsidR="00401057" w:rsidRPr="00401057">
        <w:t>’</w:t>
      </w:r>
      <w:r w:rsidRPr="00401057">
        <w:t>étant pas un recours effectif au sens de l</w:t>
      </w:r>
      <w:r w:rsidR="00401057" w:rsidRPr="00401057">
        <w:t>’</w:t>
      </w:r>
      <w:r w:rsidRPr="00401057">
        <w:t>art 13</w:t>
      </w:r>
    </w:p>
    <w:p w14:paraId="1431E114" w14:textId="77777777" w:rsidR="003651F7" w:rsidRPr="00401057" w:rsidRDefault="003651F7" w:rsidP="00401057">
      <w:pPr>
        <w:pStyle w:val="DecHCase"/>
        <w:pBdr>
          <w:top w:val="single" w:sz="4" w:space="1" w:color="auto"/>
          <w:left w:val="single" w:sz="4" w:space="4" w:color="auto"/>
          <w:bottom w:val="single" w:sz="4" w:space="1" w:color="auto"/>
          <w:right w:val="single" w:sz="4" w:space="4" w:color="auto"/>
        </w:pBdr>
        <w:spacing w:after="480"/>
        <w:jc w:val="both"/>
      </w:pPr>
      <w:r w:rsidRPr="00401057">
        <w:t>Art 6 § 1 (civil) • Délai raisonnable • Durée excessive des procédures comprise entre neuf et vingt-quatre ans</w:t>
      </w:r>
    </w:p>
    <w:p w14:paraId="2C4DC50E" w14:textId="77777777" w:rsidR="007A4070" w:rsidRPr="00401057" w:rsidRDefault="007A4070" w:rsidP="00401057">
      <w:pPr>
        <w:pStyle w:val="DecHCase"/>
        <w:spacing w:before="240"/>
      </w:pPr>
      <w:r w:rsidRPr="00401057">
        <w:t>STRASBOURG</w:t>
      </w:r>
    </w:p>
    <w:p w14:paraId="3E8D821C" w14:textId="45335B64" w:rsidR="007A4070" w:rsidRPr="00401057" w:rsidRDefault="00AB3CE0" w:rsidP="00401057">
      <w:pPr>
        <w:pStyle w:val="DecHCase"/>
      </w:pPr>
      <w:r w:rsidRPr="00401057">
        <w:t>28 avril 2022</w:t>
      </w:r>
    </w:p>
    <w:p w14:paraId="55C54EE4" w14:textId="77777777" w:rsidR="007A4070" w:rsidRPr="00401057" w:rsidRDefault="007A4070" w:rsidP="00401057">
      <w:pPr>
        <w:pStyle w:val="DecHCase"/>
      </w:pPr>
    </w:p>
    <w:p w14:paraId="0D705367" w14:textId="36AC1970" w:rsidR="00516B59" w:rsidRPr="00401057" w:rsidRDefault="007A4070" w:rsidP="00401057">
      <w:pPr>
        <w:rPr>
          <w:rFonts w:ascii="Times New Roman" w:hAnsi="Times New Roman" w:cs="Times New Roman"/>
          <w:i/>
          <w:sz w:val="22"/>
        </w:rPr>
      </w:pPr>
      <w:r w:rsidRPr="00401057">
        <w:rPr>
          <w:i/>
          <w:sz w:val="22"/>
        </w:rPr>
        <w:t xml:space="preserve">Cet arrêt </w:t>
      </w:r>
      <w:r w:rsidR="00AB3CE0" w:rsidRPr="00401057">
        <w:rPr>
          <w:i/>
          <w:sz w:val="22"/>
        </w:rPr>
        <w:t>deviendra définitif dans les conditions définies à l</w:t>
      </w:r>
      <w:r w:rsidR="00401057" w:rsidRPr="00401057">
        <w:rPr>
          <w:i/>
          <w:sz w:val="22"/>
        </w:rPr>
        <w:t>’</w:t>
      </w:r>
      <w:r w:rsidR="00AB3CE0" w:rsidRPr="00401057">
        <w:rPr>
          <w:i/>
          <w:sz w:val="22"/>
        </w:rPr>
        <w:t>article 44 § 2 de la Convention</w:t>
      </w:r>
      <w:r w:rsidRPr="00401057">
        <w:rPr>
          <w:i/>
          <w:sz w:val="22"/>
        </w:rPr>
        <w:t>. Il peut subir des retouches de fo</w:t>
      </w:r>
      <w:r w:rsidR="00516B59" w:rsidRPr="00401057">
        <w:rPr>
          <w:rFonts w:ascii="Times New Roman" w:hAnsi="Times New Roman" w:cs="Times New Roman"/>
          <w:i/>
          <w:sz w:val="22"/>
        </w:rPr>
        <w:t>rme.</w:t>
      </w:r>
    </w:p>
    <w:p w14:paraId="293C5057" w14:textId="77777777" w:rsidR="00516B59" w:rsidRPr="00401057" w:rsidRDefault="00516B59" w:rsidP="00401057">
      <w:pPr>
        <w:ind w:left="720"/>
        <w:rPr>
          <w:rFonts w:ascii="Times New Roman" w:hAnsi="Times New Roman" w:cs="Times New Roman"/>
          <w:sz w:val="22"/>
        </w:rPr>
        <w:sectPr w:rsidR="00516B59" w:rsidRPr="00401057"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09E2DCBF" w14:textId="79DC71DF" w:rsidR="004344E6" w:rsidRPr="00401057" w:rsidRDefault="004344E6" w:rsidP="00401057">
      <w:pPr>
        <w:pStyle w:val="JuCase"/>
      </w:pPr>
      <w:r w:rsidRPr="00401057">
        <w:lastRenderedPageBreak/>
        <w:t>En l</w:t>
      </w:r>
      <w:r w:rsidR="00401057" w:rsidRPr="00401057">
        <w:t>’</w:t>
      </w:r>
      <w:r w:rsidRPr="00401057">
        <w:t xml:space="preserve">affaire </w:t>
      </w:r>
      <w:r w:rsidR="00AB3CE0" w:rsidRPr="00401057">
        <w:t>Verrascina</w:t>
      </w:r>
      <w:r w:rsidR="000F1907" w:rsidRPr="00401057">
        <w:t xml:space="preserve"> et autres</w:t>
      </w:r>
      <w:r w:rsidR="00AB3CE0" w:rsidRPr="00401057">
        <w:t xml:space="preserve"> c. Italie</w:t>
      </w:r>
      <w:r w:rsidRPr="00401057">
        <w:t>,</w:t>
      </w:r>
    </w:p>
    <w:p w14:paraId="5F3B3545" w14:textId="1B612736" w:rsidR="004344E6" w:rsidRPr="00401057" w:rsidRDefault="004344E6" w:rsidP="00401057">
      <w:pPr>
        <w:pStyle w:val="JuPara"/>
      </w:pPr>
      <w:r w:rsidRPr="00401057">
        <w:t>La Cour européenne des droits de l</w:t>
      </w:r>
      <w:r w:rsidR="00401057" w:rsidRPr="00401057">
        <w:t>’</w:t>
      </w:r>
      <w:r w:rsidRPr="00401057">
        <w:t>homme (</w:t>
      </w:r>
      <w:r w:rsidR="00AB3CE0" w:rsidRPr="00401057">
        <w:t>première section</w:t>
      </w:r>
      <w:r w:rsidRPr="00401057">
        <w:t xml:space="preserve">), siégeant en </w:t>
      </w:r>
      <w:r w:rsidR="00AB3CE0" w:rsidRPr="00401057">
        <w:rPr>
          <w:color w:val="000000"/>
        </w:rPr>
        <w:t>une</w:t>
      </w:r>
      <w:r w:rsidR="00AB3CE0" w:rsidRPr="00401057">
        <w:t xml:space="preserve"> Chambre</w:t>
      </w:r>
      <w:r w:rsidR="000F1907" w:rsidRPr="00401057">
        <w:t xml:space="preserve"> </w:t>
      </w:r>
      <w:r w:rsidR="00AB3CE0" w:rsidRPr="00401057">
        <w:t>composée</w:t>
      </w:r>
      <w:r w:rsidRPr="00401057">
        <w:t xml:space="preserve"> de :</w:t>
      </w:r>
    </w:p>
    <w:p w14:paraId="50264815" w14:textId="77777777" w:rsidR="00045600" w:rsidRPr="00401057" w:rsidRDefault="00045600" w:rsidP="00401057">
      <w:pPr>
        <w:pStyle w:val="JuJudges"/>
        <w:jc w:val="both"/>
        <w:rPr>
          <w:i/>
        </w:rPr>
      </w:pPr>
      <w:r w:rsidRPr="00401057">
        <w:tab/>
        <w:t>Marko Bošnjak,</w:t>
      </w:r>
      <w:r w:rsidRPr="00401057">
        <w:rPr>
          <w:i/>
        </w:rPr>
        <w:t xml:space="preserve"> président,</w:t>
      </w:r>
    </w:p>
    <w:p w14:paraId="1B857A00" w14:textId="77777777" w:rsidR="00045600" w:rsidRPr="00401057" w:rsidRDefault="00045600" w:rsidP="00401057">
      <w:pPr>
        <w:pStyle w:val="JuJudges"/>
        <w:jc w:val="both"/>
        <w:rPr>
          <w:i/>
        </w:rPr>
      </w:pPr>
      <w:r w:rsidRPr="00401057">
        <w:rPr>
          <w:i/>
        </w:rPr>
        <w:tab/>
      </w:r>
      <w:r w:rsidRPr="00401057">
        <w:t>Péter Paczolay,</w:t>
      </w:r>
    </w:p>
    <w:p w14:paraId="3A103F55" w14:textId="77777777" w:rsidR="00045600" w:rsidRPr="00401057" w:rsidRDefault="00045600" w:rsidP="00401057">
      <w:pPr>
        <w:pStyle w:val="JuJudges"/>
        <w:jc w:val="both"/>
        <w:rPr>
          <w:i/>
        </w:rPr>
      </w:pPr>
      <w:r w:rsidRPr="00401057">
        <w:rPr>
          <w:i/>
        </w:rPr>
        <w:tab/>
      </w:r>
      <w:r w:rsidRPr="00401057">
        <w:t>Alena Poláčková,</w:t>
      </w:r>
    </w:p>
    <w:p w14:paraId="2AE15CED" w14:textId="77777777" w:rsidR="00045600" w:rsidRPr="00401057" w:rsidRDefault="00045600" w:rsidP="00401057">
      <w:pPr>
        <w:pStyle w:val="JuJudges"/>
        <w:jc w:val="both"/>
        <w:rPr>
          <w:i/>
        </w:rPr>
      </w:pPr>
      <w:r w:rsidRPr="00401057">
        <w:rPr>
          <w:i/>
        </w:rPr>
        <w:tab/>
      </w:r>
      <w:r w:rsidRPr="00401057">
        <w:t>Erik Wennerström,</w:t>
      </w:r>
    </w:p>
    <w:p w14:paraId="28E8487D" w14:textId="77777777" w:rsidR="00045600" w:rsidRPr="00401057" w:rsidRDefault="00045600" w:rsidP="00401057">
      <w:pPr>
        <w:pStyle w:val="JuJudges"/>
        <w:jc w:val="both"/>
        <w:rPr>
          <w:i/>
        </w:rPr>
      </w:pPr>
      <w:r w:rsidRPr="00401057">
        <w:rPr>
          <w:i/>
        </w:rPr>
        <w:tab/>
      </w:r>
      <w:r w:rsidRPr="00401057">
        <w:t>Raffaele Sabato,</w:t>
      </w:r>
    </w:p>
    <w:p w14:paraId="4B6DCDBB" w14:textId="77777777" w:rsidR="00045600" w:rsidRPr="00401057" w:rsidRDefault="00045600" w:rsidP="00401057">
      <w:pPr>
        <w:pStyle w:val="JuJudges"/>
        <w:jc w:val="both"/>
        <w:rPr>
          <w:i/>
          <w:lang w:val="de-DE"/>
        </w:rPr>
      </w:pPr>
      <w:r w:rsidRPr="00401057">
        <w:rPr>
          <w:i/>
        </w:rPr>
        <w:tab/>
      </w:r>
      <w:r w:rsidRPr="00401057">
        <w:rPr>
          <w:lang w:val="de-DE"/>
        </w:rPr>
        <w:t>Lorraine Schembri Orland,</w:t>
      </w:r>
    </w:p>
    <w:p w14:paraId="261455EE" w14:textId="77777777" w:rsidR="00045600" w:rsidRPr="00401057" w:rsidRDefault="00045600" w:rsidP="00401057">
      <w:pPr>
        <w:pStyle w:val="JuJudges"/>
        <w:jc w:val="both"/>
        <w:rPr>
          <w:i/>
          <w:lang w:val="de-DE"/>
        </w:rPr>
      </w:pPr>
      <w:r w:rsidRPr="00401057">
        <w:rPr>
          <w:i/>
          <w:lang w:val="de-DE"/>
        </w:rPr>
        <w:tab/>
      </w:r>
      <w:r w:rsidRPr="00401057">
        <w:rPr>
          <w:lang w:val="de-DE"/>
        </w:rPr>
        <w:t>Davor Derenčinović,</w:t>
      </w:r>
      <w:r w:rsidRPr="00401057">
        <w:rPr>
          <w:i/>
          <w:lang w:val="de-DE"/>
        </w:rPr>
        <w:t xml:space="preserve"> juges,</w:t>
      </w:r>
    </w:p>
    <w:p w14:paraId="7D778682" w14:textId="1E646C67" w:rsidR="004344E6" w:rsidRPr="00401057" w:rsidRDefault="004344E6" w:rsidP="00401057">
      <w:pPr>
        <w:pStyle w:val="JuJudges"/>
        <w:jc w:val="both"/>
      </w:pPr>
      <w:r w:rsidRPr="00401057">
        <w:t xml:space="preserve">et de </w:t>
      </w:r>
      <w:r w:rsidR="00AB3CE0" w:rsidRPr="00401057">
        <w:t>Renata Degener</w:t>
      </w:r>
      <w:r w:rsidRPr="00401057">
        <w:t xml:space="preserve">, </w:t>
      </w:r>
      <w:r w:rsidR="00AB3CE0" w:rsidRPr="00401057">
        <w:rPr>
          <w:i/>
        </w:rPr>
        <w:t>greffière</w:t>
      </w:r>
      <w:r w:rsidR="00AB3CE0" w:rsidRPr="00401057">
        <w:rPr>
          <w:iCs/>
        </w:rPr>
        <w:t xml:space="preserve"> </w:t>
      </w:r>
      <w:r w:rsidR="00AB3CE0" w:rsidRPr="00401057">
        <w:rPr>
          <w:i/>
          <w:iCs/>
        </w:rPr>
        <w:t>d</w:t>
      </w:r>
      <w:r w:rsidR="00AB3CE0" w:rsidRPr="00401057">
        <w:rPr>
          <w:i/>
        </w:rPr>
        <w:t>e section</w:t>
      </w:r>
      <w:r w:rsidRPr="00401057">
        <w:t>,</w:t>
      </w:r>
    </w:p>
    <w:p w14:paraId="6D701F63" w14:textId="540766CA" w:rsidR="00AB3CE0" w:rsidRPr="00401057" w:rsidRDefault="00AB3CE0" w:rsidP="00401057">
      <w:pPr>
        <w:pStyle w:val="JuPara"/>
      </w:pPr>
      <w:r w:rsidRPr="00401057">
        <w:t>Vu les requêtes (n</w:t>
      </w:r>
      <w:r w:rsidRPr="00401057">
        <w:rPr>
          <w:vertAlign w:val="superscript"/>
        </w:rPr>
        <w:t>os</w:t>
      </w:r>
      <w:r w:rsidRPr="00401057">
        <w:t xml:space="preserve"> 15566/13 et </w:t>
      </w:r>
      <w:r w:rsidRPr="00401057">
        <w:rPr>
          <w:color w:val="000000"/>
        </w:rPr>
        <w:t>5 autres requêtes</w:t>
      </w:r>
      <w:r w:rsidRPr="00401057">
        <w:t xml:space="preserve">) dirigées contre la République italienne et dont seize ressortissants de cet État (« les requérants »), dont les noms figurent en annexe, ont </w:t>
      </w:r>
      <w:bookmarkStart w:id="1" w:name="_Hlk36124016"/>
      <w:r w:rsidRPr="00401057">
        <w:t>saisi la Cour en vertu de l</w:t>
      </w:r>
      <w:r w:rsidR="00401057" w:rsidRPr="00401057">
        <w:t>’</w:t>
      </w:r>
      <w:r w:rsidRPr="00401057">
        <w:t>article 34 de la Convention de sauvegarde des droits de l</w:t>
      </w:r>
      <w:r w:rsidR="00401057" w:rsidRPr="00401057">
        <w:t>’</w:t>
      </w:r>
      <w:r w:rsidRPr="00401057">
        <w:t>homme et des libertés fondamentales (« la Convention »)</w:t>
      </w:r>
      <w:bookmarkEnd w:id="1"/>
      <w:r w:rsidRPr="00401057">
        <w:t xml:space="preserve"> aux dates indiquées dans le tableau joint en annexe,</w:t>
      </w:r>
    </w:p>
    <w:p w14:paraId="0171040B" w14:textId="052538C5" w:rsidR="00AB3CE0" w:rsidRPr="00401057" w:rsidRDefault="00AB3CE0" w:rsidP="00401057">
      <w:pPr>
        <w:pStyle w:val="JuPara"/>
      </w:pPr>
      <w:r w:rsidRPr="00401057">
        <w:t>Vu la décision de porter à la connaissance du gouvernement italien (« le Gouvernement ») les griefs concernant la durée excessive des procédures internes engagées par les requérants et l</w:t>
      </w:r>
      <w:r w:rsidR="00401057" w:rsidRPr="00401057">
        <w:t>’</w:t>
      </w:r>
      <w:r w:rsidRPr="00401057">
        <w:t>effectivité du recours prévu à l</w:t>
      </w:r>
      <w:r w:rsidR="00401057" w:rsidRPr="00401057">
        <w:t>’</w:t>
      </w:r>
      <w:r w:rsidRPr="00401057">
        <w:t>article 4 de la loi n</w:t>
      </w:r>
      <w:r w:rsidRPr="00401057">
        <w:rPr>
          <w:vertAlign w:val="superscript"/>
        </w:rPr>
        <w:t>o</w:t>
      </w:r>
      <w:r w:rsidRPr="00401057">
        <w:t xml:space="preserve"> 89 de 2001, et de déclarer les requêtes irrecevables pour le surplus,</w:t>
      </w:r>
    </w:p>
    <w:p w14:paraId="67B4BCD6" w14:textId="77777777" w:rsidR="00AB3CE0" w:rsidRPr="00401057" w:rsidRDefault="00AB3CE0" w:rsidP="00401057">
      <w:pPr>
        <w:pStyle w:val="JuPara"/>
      </w:pPr>
      <w:r w:rsidRPr="00401057">
        <w:t>Vu les observations des parties,</w:t>
      </w:r>
    </w:p>
    <w:p w14:paraId="1BBD4958" w14:textId="1D1CD4D5" w:rsidR="004344E6" w:rsidRPr="00401057" w:rsidRDefault="004344E6" w:rsidP="00401057">
      <w:pPr>
        <w:pStyle w:val="JuPara"/>
      </w:pPr>
      <w:r w:rsidRPr="00401057">
        <w:t xml:space="preserve">Après en avoir délibéré en chambre du conseil le </w:t>
      </w:r>
      <w:r w:rsidR="00AB3CE0" w:rsidRPr="00401057">
        <w:t>22 mars 2022</w:t>
      </w:r>
      <w:r w:rsidRPr="00401057">
        <w:t>,</w:t>
      </w:r>
    </w:p>
    <w:p w14:paraId="47B36D9D" w14:textId="0CCAA962" w:rsidR="00876F03" w:rsidRPr="00401057" w:rsidRDefault="004344E6" w:rsidP="00401057">
      <w:pPr>
        <w:pStyle w:val="JuPara"/>
      </w:pPr>
      <w:r w:rsidRPr="00401057">
        <w:t>Rend l</w:t>
      </w:r>
      <w:r w:rsidR="00401057" w:rsidRPr="00401057">
        <w:t>’</w:t>
      </w:r>
      <w:r w:rsidRPr="00401057">
        <w:t>arrêt que voici</w:t>
      </w:r>
      <w:r w:rsidR="00876F03" w:rsidRPr="00401057">
        <w:t>, adopté à cette date :</w:t>
      </w:r>
    </w:p>
    <w:p w14:paraId="4981062A" w14:textId="77777777" w:rsidR="00AB3CE0" w:rsidRPr="00401057" w:rsidRDefault="00AB3CE0" w:rsidP="00401057">
      <w:pPr>
        <w:pStyle w:val="JuHHead"/>
      </w:pPr>
      <w:r w:rsidRPr="00401057">
        <w:rPr>
          <w:caps w:val="0"/>
        </w:rPr>
        <w:t>INTRODUCTION</w:t>
      </w:r>
    </w:p>
    <w:p w14:paraId="75D642D6" w14:textId="4775A378" w:rsidR="00AB3CE0" w:rsidRPr="00401057" w:rsidRDefault="00AB3CE0" w:rsidP="00401057">
      <w:pPr>
        <w:pStyle w:val="JuPara"/>
      </w:pPr>
      <w:r w:rsidRPr="00401057">
        <w:fldChar w:fldCharType="begin"/>
      </w:r>
      <w:r w:rsidRPr="00401057">
        <w:instrText xml:space="preserve"> SEQ level0 \*arabic </w:instrText>
      </w:r>
      <w:r w:rsidRPr="00401057">
        <w:fldChar w:fldCharType="separate"/>
      </w:r>
      <w:r w:rsidR="00401057" w:rsidRPr="00401057">
        <w:rPr>
          <w:noProof/>
        </w:rPr>
        <w:t>1</w:t>
      </w:r>
      <w:r w:rsidRPr="00401057">
        <w:fldChar w:fldCharType="end"/>
      </w:r>
      <w:r w:rsidRPr="00401057">
        <w:t>.  </w:t>
      </w:r>
      <w:r w:rsidRPr="00401057">
        <w:rPr>
          <w:rFonts w:eastAsiaTheme="minorEastAsia"/>
          <w:szCs w:val="22"/>
        </w:rPr>
        <w:t>Les requêtes concernent</w:t>
      </w:r>
      <w:r w:rsidRPr="00401057">
        <w:rPr>
          <w:rFonts w:eastAsiaTheme="minorEastAsia"/>
          <w:b/>
          <w:szCs w:val="22"/>
        </w:rPr>
        <w:t xml:space="preserve"> </w:t>
      </w:r>
      <w:r w:rsidRPr="00401057">
        <w:rPr>
          <w:rFonts w:eastAsiaTheme="minorEastAsia"/>
          <w:szCs w:val="22"/>
        </w:rPr>
        <w:t>la durée excessive de la procédure et la possibilité d</w:t>
      </w:r>
      <w:r w:rsidR="00401057" w:rsidRPr="00401057">
        <w:rPr>
          <w:rFonts w:eastAsiaTheme="minorEastAsia"/>
          <w:szCs w:val="22"/>
        </w:rPr>
        <w:t>’</w:t>
      </w:r>
      <w:r w:rsidRPr="00401057">
        <w:rPr>
          <w:rFonts w:eastAsiaTheme="minorEastAsia"/>
          <w:szCs w:val="22"/>
        </w:rPr>
        <w:t>introduire un recours indemnitaire uniquement à partir de la date où la décision finale rendue dans la ladite procédure devient définitive.</w:t>
      </w:r>
    </w:p>
    <w:p w14:paraId="37CEF3D2" w14:textId="77777777" w:rsidR="00AB3CE0" w:rsidRPr="00401057" w:rsidRDefault="00AB3CE0" w:rsidP="00401057">
      <w:pPr>
        <w:pStyle w:val="JuHHead"/>
      </w:pPr>
      <w:bookmarkStart w:id="2" w:name="_Hlk36126677"/>
      <w:r w:rsidRPr="00401057">
        <w:t>EN FAIT</w:t>
      </w:r>
    </w:p>
    <w:bookmarkEnd w:id="2"/>
    <w:p w14:paraId="196C7E4E" w14:textId="1B88C5A7" w:rsidR="00AB3CE0" w:rsidRPr="00401057" w:rsidRDefault="00AB3CE0" w:rsidP="00401057">
      <w:pPr>
        <w:pStyle w:val="JuPara"/>
      </w:pPr>
      <w:r w:rsidRPr="00401057">
        <w:fldChar w:fldCharType="begin"/>
      </w:r>
      <w:r w:rsidRPr="00401057">
        <w:instrText xml:space="preserve"> SEQ level0 \*arabic </w:instrText>
      </w:r>
      <w:r w:rsidRPr="00401057">
        <w:fldChar w:fldCharType="separate"/>
      </w:r>
      <w:r w:rsidR="00401057" w:rsidRPr="00401057">
        <w:rPr>
          <w:noProof/>
        </w:rPr>
        <w:t>2</w:t>
      </w:r>
      <w:r w:rsidRPr="00401057">
        <w:fldChar w:fldCharType="end"/>
      </w:r>
      <w:r w:rsidRPr="00401057">
        <w:t>.  Les informations personnelles relatives aux requérants figurent en annexe. Les intéressés ont été représentés par différents avocats (voir l</w:t>
      </w:r>
      <w:r w:rsidR="00401057" w:rsidRPr="00401057">
        <w:t>’</w:t>
      </w:r>
      <w:r w:rsidRPr="00401057">
        <w:t>annexe).</w:t>
      </w:r>
    </w:p>
    <w:p w14:paraId="723646F5" w14:textId="3BF8E448" w:rsidR="00AB3CE0" w:rsidRPr="00401057" w:rsidRDefault="00AB3CE0" w:rsidP="00401057">
      <w:pPr>
        <w:pStyle w:val="JuPara"/>
      </w:pPr>
      <w:r w:rsidRPr="00401057">
        <w:fldChar w:fldCharType="begin"/>
      </w:r>
      <w:r w:rsidRPr="00401057">
        <w:instrText xml:space="preserve"> SEQ level0 \*arabic </w:instrText>
      </w:r>
      <w:r w:rsidRPr="00401057">
        <w:fldChar w:fldCharType="separate"/>
      </w:r>
      <w:r w:rsidR="00401057" w:rsidRPr="00401057">
        <w:rPr>
          <w:noProof/>
        </w:rPr>
        <w:t>3</w:t>
      </w:r>
      <w:r w:rsidRPr="00401057">
        <w:fldChar w:fldCharType="end"/>
      </w:r>
      <w:r w:rsidRPr="00401057">
        <w:t>.  </w:t>
      </w:r>
      <w:bookmarkStart w:id="3" w:name="_Hlk36127123"/>
      <w:r w:rsidRPr="00401057">
        <w:t>Le Gouvernement a été représenté par son agent, M. L. D</w:t>
      </w:r>
      <w:r w:rsidR="00401057" w:rsidRPr="00401057">
        <w:t>’</w:t>
      </w:r>
      <w:r w:rsidRPr="00401057">
        <w:t>Ascia, avocat de l</w:t>
      </w:r>
      <w:r w:rsidR="00401057" w:rsidRPr="00401057">
        <w:t>’</w:t>
      </w:r>
      <w:r w:rsidRPr="00401057">
        <w:t>État.</w:t>
      </w:r>
      <w:bookmarkEnd w:id="3"/>
    </w:p>
    <w:p w14:paraId="274D0FEE" w14:textId="658D4301" w:rsidR="00AB3CE0" w:rsidRPr="00401057" w:rsidRDefault="00EC30E9" w:rsidP="00401057">
      <w:pPr>
        <w:pStyle w:val="JuPara"/>
      </w:pPr>
      <w:r>
        <w:fldChar w:fldCharType="begin"/>
      </w:r>
      <w:r>
        <w:instrText xml:space="preserve"> SEQ level0 \*arabic \* MERGEFORMAT </w:instrText>
      </w:r>
      <w:r>
        <w:fldChar w:fldCharType="separate"/>
      </w:r>
      <w:r w:rsidR="00401057" w:rsidRPr="00401057">
        <w:rPr>
          <w:noProof/>
        </w:rPr>
        <w:t>4</w:t>
      </w:r>
      <w:r>
        <w:rPr>
          <w:noProof/>
        </w:rPr>
        <w:fldChar w:fldCharType="end"/>
      </w:r>
      <w:r w:rsidR="00AB3CE0" w:rsidRPr="00401057">
        <w:t>.  Les éléments essentiels des procédures dans lesquelles les requérants étaient engagées sont indiqués dans le tableau en annexe.</w:t>
      </w:r>
    </w:p>
    <w:p w14:paraId="5268D8BA" w14:textId="7BA32355" w:rsidR="00AB3CE0" w:rsidRPr="00401057" w:rsidRDefault="00EC30E9" w:rsidP="00401057">
      <w:pPr>
        <w:pStyle w:val="JuPara"/>
      </w:pPr>
      <w:r>
        <w:fldChar w:fldCharType="begin"/>
      </w:r>
      <w:r>
        <w:instrText xml:space="preserve"> SEQ level0 \*arabic \* MERGEFORMAT </w:instrText>
      </w:r>
      <w:r>
        <w:fldChar w:fldCharType="separate"/>
      </w:r>
      <w:r w:rsidR="00401057" w:rsidRPr="00401057">
        <w:rPr>
          <w:noProof/>
        </w:rPr>
        <w:t>5</w:t>
      </w:r>
      <w:r>
        <w:rPr>
          <w:noProof/>
        </w:rPr>
        <w:fldChar w:fldCharType="end"/>
      </w:r>
      <w:r w:rsidR="00AB3CE0" w:rsidRPr="00401057">
        <w:t>.  En 2012, à la suite de l</w:t>
      </w:r>
      <w:r w:rsidR="00401057" w:rsidRPr="00401057">
        <w:t>’</w:t>
      </w:r>
      <w:r w:rsidR="00AB3CE0" w:rsidRPr="00401057">
        <w:t>entrée en vigueur de la loi n</w:t>
      </w:r>
      <w:r w:rsidR="00AB3CE0" w:rsidRPr="00401057">
        <w:rPr>
          <w:vertAlign w:val="superscript"/>
        </w:rPr>
        <w:t>o</w:t>
      </w:r>
      <w:r w:rsidR="00AB3CE0" w:rsidRPr="00401057">
        <w:t xml:space="preserve"> 134 de 2012, la</w:t>
      </w:r>
      <w:r w:rsidR="004E438D" w:rsidRPr="00401057">
        <w:t xml:space="preserve"> </w:t>
      </w:r>
      <w:r w:rsidR="00AB3CE0" w:rsidRPr="00401057">
        <w:t>loi n</w:t>
      </w:r>
      <w:r w:rsidR="00AB3CE0" w:rsidRPr="00401057">
        <w:rPr>
          <w:vertAlign w:val="superscript"/>
        </w:rPr>
        <w:t>o</w:t>
      </w:r>
      <w:r w:rsidR="00AB3CE0" w:rsidRPr="00401057">
        <w:t xml:space="preserve"> 89 du 8 mars 2001, dite « loi Pinto », a été modifiée. En particulier, la nouvelle formulation de l</w:t>
      </w:r>
      <w:r w:rsidR="00401057" w:rsidRPr="00401057">
        <w:t>’</w:t>
      </w:r>
      <w:r w:rsidR="00AB3CE0" w:rsidRPr="00401057">
        <w:t>article 4 prévoyait la possibilité d</w:t>
      </w:r>
      <w:r w:rsidR="00401057" w:rsidRPr="00401057">
        <w:t>’</w:t>
      </w:r>
      <w:r w:rsidR="00AB3CE0" w:rsidRPr="00401057">
        <w:t xml:space="preserve">introduire une </w:t>
      </w:r>
      <w:r w:rsidR="00AB3CE0" w:rsidRPr="00401057">
        <w:lastRenderedPageBreak/>
        <w:t>demande de satisfaction équitable pour tout préjudice causé par la durée excessive d</w:t>
      </w:r>
      <w:r w:rsidR="00401057" w:rsidRPr="00401057">
        <w:t>’</w:t>
      </w:r>
      <w:r w:rsidR="00AB3CE0" w:rsidRPr="00401057">
        <w:t>une procédure à partir de la date à laquelle la décision finale concluant ladite procédure devenait définitive.</w:t>
      </w:r>
    </w:p>
    <w:p w14:paraId="1B4F4B69" w14:textId="651D6A1E" w:rsidR="00AB3CE0" w:rsidRPr="00401057" w:rsidRDefault="00AB3CE0" w:rsidP="00401057">
      <w:pPr>
        <w:pStyle w:val="JuPara"/>
      </w:pPr>
      <w:r w:rsidRPr="00401057">
        <w:t>À la date d</w:t>
      </w:r>
      <w:r w:rsidR="00401057" w:rsidRPr="00401057">
        <w:t>’</w:t>
      </w:r>
      <w:r w:rsidRPr="00401057">
        <w:t>introduction des requêtes devant la Cour, les procédures internes respectives étaient en cours (voir le tableau en annexe).</w:t>
      </w:r>
    </w:p>
    <w:p w14:paraId="4C0CCDF1" w14:textId="77777777" w:rsidR="00AB3CE0" w:rsidRPr="00401057" w:rsidRDefault="00AB3CE0" w:rsidP="00401057">
      <w:pPr>
        <w:pStyle w:val="JuHHead"/>
        <w:numPr>
          <w:ilvl w:val="0"/>
          <w:numId w:val="2"/>
        </w:numPr>
        <w:ind w:left="360" w:hanging="360"/>
      </w:pPr>
      <w:bookmarkStart w:id="4" w:name="_Hlk36127227"/>
      <w:r w:rsidRPr="00401057">
        <w:rPr>
          <w:caps w:val="0"/>
        </w:rPr>
        <w:t>LE CADRE JURIDIQUE ET LA PRATIQUE INTERNES PERTINENTS</w:t>
      </w:r>
    </w:p>
    <w:bookmarkStart w:id="5" w:name="loi_PINTO"/>
    <w:bookmarkStart w:id="6" w:name="_Hlk36127236"/>
    <w:bookmarkEnd w:id="4"/>
    <w:p w14:paraId="22456561" w14:textId="37449AC9" w:rsidR="00AB3CE0" w:rsidRPr="00401057" w:rsidRDefault="00AB3CE0" w:rsidP="00401057">
      <w:pPr>
        <w:pStyle w:val="JuPara"/>
      </w:pPr>
      <w:r w:rsidRPr="00401057">
        <w:fldChar w:fldCharType="begin"/>
      </w:r>
      <w:r w:rsidRPr="00401057">
        <w:instrText xml:space="preserve"> SEQ level0 \*arabic \* MERGEFORMAT </w:instrText>
      </w:r>
      <w:r w:rsidRPr="00401057">
        <w:fldChar w:fldCharType="separate"/>
      </w:r>
      <w:r w:rsidR="00401057" w:rsidRPr="00401057">
        <w:rPr>
          <w:noProof/>
        </w:rPr>
        <w:t>6</w:t>
      </w:r>
      <w:r w:rsidRPr="00401057">
        <w:fldChar w:fldCharType="end"/>
      </w:r>
      <w:bookmarkEnd w:id="5"/>
      <w:r w:rsidRPr="00401057">
        <w:t>.  La loi n</w:t>
      </w:r>
      <w:r w:rsidRPr="00401057">
        <w:rPr>
          <w:vertAlign w:val="superscript"/>
        </w:rPr>
        <w:t>o</w:t>
      </w:r>
      <w:r w:rsidRPr="00401057">
        <w:t xml:space="preserve"> 89 de 2001, dite « loi Pinto », a introduit dans le système juridique italien un recours indemnitaire pour toute personne ayant subi un préjudice causé par la durée excessive d</w:t>
      </w:r>
      <w:r w:rsidR="00401057" w:rsidRPr="00401057">
        <w:t>’</w:t>
      </w:r>
      <w:r w:rsidRPr="00401057">
        <w:t>une procédure judiciaire. Par la suite, la loi Pinto a été modifiée en 2012 (décret-loi n</w:t>
      </w:r>
      <w:r w:rsidRPr="00401057">
        <w:rPr>
          <w:vertAlign w:val="superscript"/>
        </w:rPr>
        <w:t>o</w:t>
      </w:r>
      <w:r w:rsidRPr="00401057">
        <w:t xml:space="preserve"> 83 de 2012 converti en loi par la loi n</w:t>
      </w:r>
      <w:r w:rsidRPr="00401057">
        <w:rPr>
          <w:vertAlign w:val="superscript"/>
        </w:rPr>
        <w:t>o</w:t>
      </w:r>
      <w:r w:rsidRPr="00401057">
        <w:t xml:space="preserve"> 134 de 2012) et en 2015 (article 1, § 777, de la loi n</w:t>
      </w:r>
      <w:r w:rsidRPr="00401057">
        <w:rPr>
          <w:vertAlign w:val="superscript"/>
        </w:rPr>
        <w:t>o</w:t>
      </w:r>
      <w:r w:rsidRPr="00401057">
        <w:t xml:space="preserve"> 208 de 2015).</w:t>
      </w:r>
    </w:p>
    <w:p w14:paraId="5B4EF102" w14:textId="4BC6E47B" w:rsidR="00AB3CE0" w:rsidRPr="00401057" w:rsidRDefault="00AB3CE0" w:rsidP="00401057">
      <w:pPr>
        <w:pStyle w:val="JuPara"/>
      </w:pPr>
      <w:r w:rsidRPr="00401057">
        <w:t>Le texte initial de l</w:t>
      </w:r>
      <w:r w:rsidR="00401057" w:rsidRPr="00401057">
        <w:t>’</w:t>
      </w:r>
      <w:r w:rsidRPr="00401057">
        <w:t>article 4 de la loi Pinto était ainsi rédigé :</w:t>
      </w:r>
    </w:p>
    <w:p w14:paraId="7E80D175" w14:textId="47395288" w:rsidR="00AB3CE0" w:rsidRPr="00401057" w:rsidRDefault="00AB3CE0" w:rsidP="00401057">
      <w:pPr>
        <w:pStyle w:val="JuHArticle"/>
      </w:pPr>
      <w:r w:rsidRPr="00401057">
        <w:t>Article 4 – Délai et conditions concernant l</w:t>
      </w:r>
      <w:r w:rsidR="00401057" w:rsidRPr="00401057">
        <w:t>’</w:t>
      </w:r>
      <w:r w:rsidRPr="00401057">
        <w:t>introduction d</w:t>
      </w:r>
      <w:r w:rsidR="00401057" w:rsidRPr="00401057">
        <w:t>’</w:t>
      </w:r>
      <w:r w:rsidRPr="00401057">
        <w:t>un recours)</w:t>
      </w:r>
    </w:p>
    <w:p w14:paraId="2EF07FBF" w14:textId="77777777" w:rsidR="00AB3CE0" w:rsidRPr="00401057" w:rsidRDefault="00AB3CE0" w:rsidP="00401057">
      <w:pPr>
        <w:pStyle w:val="JuQuot"/>
      </w:pPr>
      <w:r w:rsidRPr="00401057">
        <w:t>« La demande de réparation peut être présentée au cours de la procédure au titre de laquelle on allègue la violation ou, sous peine de déchéance, dans un délai de six mois à partir de la date à laquelle la décision concluant ladite procédure est devenue définitive. »</w:t>
      </w:r>
    </w:p>
    <w:p w14:paraId="5B61A12B" w14:textId="4FB57C39" w:rsidR="00AB3CE0" w:rsidRPr="00401057" w:rsidRDefault="00AB3CE0" w:rsidP="00401057">
      <w:pPr>
        <w:pStyle w:val="JuPara"/>
      </w:pPr>
      <w:r w:rsidRPr="00401057">
        <w:t>En 2012, l</w:t>
      </w:r>
      <w:r w:rsidR="00401057" w:rsidRPr="00401057">
        <w:t>’</w:t>
      </w:r>
      <w:r w:rsidRPr="00401057">
        <w:t>article 4 a été modifié ainsi :</w:t>
      </w:r>
    </w:p>
    <w:p w14:paraId="4B70E635" w14:textId="77777777" w:rsidR="00AB3CE0" w:rsidRPr="00401057" w:rsidRDefault="00AB3CE0" w:rsidP="00401057">
      <w:pPr>
        <w:pStyle w:val="JuQuot"/>
      </w:pPr>
      <w:r w:rsidRPr="00401057">
        <w:t>« La demande de réparation peut être présentée dans un délai de six mois à partir de la date à laquelle la décision concluant la procédure au titre de laquelle on allègue la violation est devenue définitive. »</w:t>
      </w:r>
    </w:p>
    <w:p w14:paraId="453C5532" w14:textId="5835ED43" w:rsidR="00AB3CE0" w:rsidRPr="00401057" w:rsidRDefault="00AB3CE0" w:rsidP="00401057">
      <w:pPr>
        <w:pStyle w:val="JuPara"/>
      </w:pPr>
      <w:bookmarkStart w:id="7" w:name="_Hlk95749287"/>
      <w:r w:rsidRPr="00401057">
        <w:t>L</w:t>
      </w:r>
      <w:r w:rsidR="00401057" w:rsidRPr="00401057">
        <w:t>’</w:t>
      </w:r>
      <w:r w:rsidRPr="00401057">
        <w:t xml:space="preserve">article 1 </w:t>
      </w:r>
      <w:r w:rsidRPr="00401057">
        <w:rPr>
          <w:i/>
          <w:iCs/>
        </w:rPr>
        <w:t>ter</w:t>
      </w:r>
      <w:r w:rsidRPr="00401057">
        <w:t xml:space="preserve"> de la loi Pinto, introduit en 2015, règlemente les recours de nature préventive tendant à faire accélérer la procédure. </w:t>
      </w:r>
      <w:bookmarkEnd w:id="7"/>
      <w:r w:rsidRPr="00401057">
        <w:t>Le paragraphe 7 dudit article prévoit que « 7. [l]es [autres] dispositions déterminant l</w:t>
      </w:r>
      <w:r w:rsidR="00401057" w:rsidRPr="00401057">
        <w:t>’</w:t>
      </w:r>
      <w:r w:rsidRPr="00401057">
        <w:t>ordre de priorité dans le traitement des affaires</w:t>
      </w:r>
      <w:r w:rsidRPr="00401057">
        <w:rPr>
          <w:i/>
          <w:iCs/>
        </w:rPr>
        <w:t xml:space="preserve"> </w:t>
      </w:r>
      <w:r w:rsidRPr="00401057">
        <w:t>ne sont pas affectées</w:t>
      </w:r>
      <w:r w:rsidRPr="00401057">
        <w:rPr>
          <w:rStyle w:val="Rimandonotaapidipagina"/>
        </w:rPr>
        <w:footnoteReference w:id="1"/>
      </w:r>
      <w:r w:rsidRPr="00401057">
        <w:t>. »</w:t>
      </w:r>
    </w:p>
    <w:bookmarkStart w:id="8" w:name="CCOST_2014"/>
    <w:bookmarkEnd w:id="6"/>
    <w:p w14:paraId="369D461E" w14:textId="44CA8B60" w:rsidR="00AB3CE0" w:rsidRPr="00401057" w:rsidRDefault="00AB3CE0" w:rsidP="00401057">
      <w:pPr>
        <w:pStyle w:val="JuPara"/>
      </w:pPr>
      <w:r w:rsidRPr="00401057">
        <w:fldChar w:fldCharType="begin"/>
      </w:r>
      <w:r w:rsidRPr="00401057">
        <w:instrText xml:space="preserve"> SEQ level0 \*arabic \* MERGEFORMAT </w:instrText>
      </w:r>
      <w:r w:rsidRPr="00401057">
        <w:fldChar w:fldCharType="separate"/>
      </w:r>
      <w:r w:rsidR="00401057" w:rsidRPr="00401057">
        <w:rPr>
          <w:noProof/>
        </w:rPr>
        <w:t>7</w:t>
      </w:r>
      <w:r w:rsidRPr="00401057">
        <w:fldChar w:fldCharType="end"/>
      </w:r>
      <w:bookmarkEnd w:id="8"/>
      <w:r w:rsidRPr="00401057">
        <w:t>.  Dans son arrêt n</w:t>
      </w:r>
      <w:r w:rsidRPr="00401057">
        <w:rPr>
          <w:vertAlign w:val="superscript"/>
        </w:rPr>
        <w:t>o</w:t>
      </w:r>
      <w:r w:rsidRPr="00401057">
        <w:t xml:space="preserve"> 30 de 2014, la Cour constitutionnelle rejeta la question de constitutionnalité du nouvel article 4. Rappelant les arrêts </w:t>
      </w:r>
      <w:r w:rsidRPr="00401057">
        <w:rPr>
          <w:i/>
        </w:rPr>
        <w:t>Cocchiarella c. Italie</w:t>
      </w:r>
      <w:r w:rsidRPr="00401057">
        <w:t xml:space="preserve"> ([GC], n</w:t>
      </w:r>
      <w:r w:rsidRPr="00401057">
        <w:rPr>
          <w:vertAlign w:val="superscript"/>
        </w:rPr>
        <w:t>o</w:t>
      </w:r>
      <w:r w:rsidRPr="00401057">
        <w:t xml:space="preserve"> 64886/01, CEDH 2006</w:t>
      </w:r>
      <w:r w:rsidRPr="00401057">
        <w:noBreakHyphen/>
        <w:t xml:space="preserve">V) et </w:t>
      </w:r>
      <w:r w:rsidRPr="00401057">
        <w:rPr>
          <w:i/>
        </w:rPr>
        <w:t>Robert Lesjak</w:t>
      </w:r>
      <w:r w:rsidR="000F1907" w:rsidRPr="00401057">
        <w:rPr>
          <w:i/>
        </w:rPr>
        <w:t xml:space="preserve"> </w:t>
      </w:r>
      <w:r w:rsidRPr="00401057">
        <w:rPr>
          <w:i/>
        </w:rPr>
        <w:t>c. Slovénie</w:t>
      </w:r>
      <w:r w:rsidRPr="00401057">
        <w:t xml:space="preserve"> (n</w:t>
      </w:r>
      <w:r w:rsidRPr="00401057">
        <w:rPr>
          <w:vertAlign w:val="superscript"/>
        </w:rPr>
        <w:t>o</w:t>
      </w:r>
      <w:r w:rsidRPr="00401057">
        <w:t xml:space="preserve"> 33946/03, 21 juillet 2009), elle jugea néanmoins que le fait de différer l</w:t>
      </w:r>
      <w:r w:rsidR="00401057" w:rsidRPr="00401057">
        <w:t>’</w:t>
      </w:r>
      <w:r w:rsidRPr="00401057">
        <w:t>introduction de la demande de réparation à la fin de la procédure dans laquelle le retard s</w:t>
      </w:r>
      <w:r w:rsidR="00401057" w:rsidRPr="00401057">
        <w:t>’</w:t>
      </w:r>
      <w:r w:rsidRPr="00401057">
        <w:t>est produit, avait un impact sur l</w:t>
      </w:r>
      <w:r w:rsidR="00401057" w:rsidRPr="00401057">
        <w:t>’</w:t>
      </w:r>
      <w:r w:rsidRPr="00401057">
        <w:t>effectivité du recours en question. S</w:t>
      </w:r>
      <w:r w:rsidR="00401057" w:rsidRPr="00401057">
        <w:t>’</w:t>
      </w:r>
      <w:r w:rsidRPr="00401057">
        <w:t>appuyant sur ce constat, elle invita le législateur à adopter des mesures « pour atteindre un but constitutionnellement nécessaire » et souligna en même temps qu</w:t>
      </w:r>
      <w:r w:rsidR="00401057" w:rsidRPr="00401057">
        <w:t>’</w:t>
      </w:r>
      <w:r w:rsidRPr="00401057">
        <w:t>une inertie prolongée du pouvoir législatif ne pouvait pas être tolérée.</w:t>
      </w:r>
    </w:p>
    <w:bookmarkStart w:id="9" w:name="CCOST_2018"/>
    <w:p w14:paraId="4A97B667" w14:textId="443A1105" w:rsidR="00AB3CE0" w:rsidRPr="00401057" w:rsidRDefault="00AB3CE0" w:rsidP="00401057">
      <w:pPr>
        <w:pStyle w:val="JuPara"/>
      </w:pPr>
      <w:r w:rsidRPr="00401057">
        <w:lastRenderedPageBreak/>
        <w:fldChar w:fldCharType="begin"/>
      </w:r>
      <w:r w:rsidRPr="00401057">
        <w:instrText xml:space="preserve"> SEQ level0 \*arabic \* MERGEFORMAT </w:instrText>
      </w:r>
      <w:r w:rsidRPr="00401057">
        <w:fldChar w:fldCharType="separate"/>
      </w:r>
      <w:r w:rsidR="00401057" w:rsidRPr="00401057">
        <w:rPr>
          <w:noProof/>
        </w:rPr>
        <w:t>8</w:t>
      </w:r>
      <w:r w:rsidRPr="00401057">
        <w:fldChar w:fldCharType="end"/>
      </w:r>
      <w:bookmarkEnd w:id="9"/>
      <w:r w:rsidRPr="00401057">
        <w:t>.  Quatre ans plus tard, dans son arrêt n</w:t>
      </w:r>
      <w:r w:rsidRPr="00401057">
        <w:rPr>
          <w:vertAlign w:val="superscript"/>
        </w:rPr>
        <w:t>o</w:t>
      </w:r>
      <w:r w:rsidRPr="00401057">
        <w:t> 88 de 2018 (publié au Journal officiel le 2 mai 2018), elle déclara l</w:t>
      </w:r>
      <w:r w:rsidR="00401057" w:rsidRPr="00401057">
        <w:t>’</w:t>
      </w:r>
      <w:r w:rsidRPr="00401057">
        <w:t>inconstitutionnalité de l</w:t>
      </w:r>
      <w:r w:rsidR="00401057" w:rsidRPr="00401057">
        <w:t>’</w:t>
      </w:r>
      <w:r w:rsidRPr="00401057">
        <w:t>article 4. Dans cette décision, elle analysa certains éléments de la réforme de 2015. En particulier, rappelant les principes dégagés dans l</w:t>
      </w:r>
      <w:r w:rsidR="00401057" w:rsidRPr="00401057">
        <w:t>’</w:t>
      </w:r>
      <w:r w:rsidRPr="00401057">
        <w:t xml:space="preserve">arrêt </w:t>
      </w:r>
      <w:r w:rsidRPr="00401057">
        <w:rPr>
          <w:i/>
        </w:rPr>
        <w:t>Olivieri et autres</w:t>
      </w:r>
      <w:r w:rsidR="004E438D" w:rsidRPr="00401057">
        <w:rPr>
          <w:i/>
        </w:rPr>
        <w:t> </w:t>
      </w:r>
      <w:r w:rsidRPr="00401057">
        <w:rPr>
          <w:i/>
        </w:rPr>
        <w:t>c. Italie</w:t>
      </w:r>
      <w:r w:rsidRPr="00401057">
        <w:t xml:space="preserve"> </w:t>
      </w:r>
      <w:r w:rsidRPr="00401057">
        <w:rPr>
          <w:iCs/>
        </w:rPr>
        <w:t>(</w:t>
      </w:r>
      <w:r w:rsidRPr="00401057">
        <w:t>n</w:t>
      </w:r>
      <w:r w:rsidRPr="00401057">
        <w:rPr>
          <w:rFonts w:cs="Times New Roman"/>
          <w:vertAlign w:val="superscript"/>
        </w:rPr>
        <w:t>os </w:t>
      </w:r>
      <w:r w:rsidRPr="00401057">
        <w:t xml:space="preserve">17708/12 et 3 autres, </w:t>
      </w:r>
      <w:r w:rsidRPr="00401057">
        <w:rPr>
          <w:snapToGrid w:val="0"/>
        </w:rPr>
        <w:t xml:space="preserve">25 </w:t>
      </w:r>
      <w:r w:rsidRPr="00401057">
        <w:t>février</w:t>
      </w:r>
      <w:r w:rsidRPr="00401057">
        <w:rPr>
          <w:snapToGrid w:val="0"/>
        </w:rPr>
        <w:t xml:space="preserve"> 2016)</w:t>
      </w:r>
      <w:r w:rsidRPr="00401057">
        <w:t>, elle jugea que les recours de nature préventive introduits en 2015 n</w:t>
      </w:r>
      <w:r w:rsidR="00401057" w:rsidRPr="00401057">
        <w:t>’</w:t>
      </w:r>
      <w:r w:rsidRPr="00401057">
        <w:t>avaient aucun effet réel sur le déroulement de la procédure, dans la mesure où, d</w:t>
      </w:r>
      <w:r w:rsidR="00401057" w:rsidRPr="00401057">
        <w:t>’</w:t>
      </w:r>
      <w:r w:rsidRPr="00401057">
        <w:t>une part, les juridictions n</w:t>
      </w:r>
      <w:r w:rsidR="00401057" w:rsidRPr="00401057">
        <w:t>’</w:t>
      </w:r>
      <w:r w:rsidRPr="00401057">
        <w:t>avaient aucune obligation d</w:t>
      </w:r>
      <w:r w:rsidR="00401057" w:rsidRPr="00401057">
        <w:t>’</w:t>
      </w:r>
      <w:r w:rsidRPr="00401057">
        <w:t>accélérer la procédure, et, d</w:t>
      </w:r>
      <w:r w:rsidR="00401057" w:rsidRPr="00401057">
        <w:t>’</w:t>
      </w:r>
      <w:r w:rsidRPr="00401057">
        <w:t>autre part, la loi Pinto prévoyait expressément que l</w:t>
      </w:r>
      <w:r w:rsidR="00401057" w:rsidRPr="00401057">
        <w:t>’</w:t>
      </w:r>
      <w:r w:rsidRPr="00401057">
        <w:t>ordre de priorité dans le traitement des affaires, déterminé par d</w:t>
      </w:r>
      <w:r w:rsidR="00401057" w:rsidRPr="00401057">
        <w:t>’</w:t>
      </w:r>
      <w:r w:rsidRPr="00401057">
        <w:t>autres dispositions n</w:t>
      </w:r>
      <w:r w:rsidR="00401057" w:rsidRPr="00401057">
        <w:t>’</w:t>
      </w:r>
      <w:r w:rsidRPr="00401057">
        <w:t xml:space="preserve">était pas affecté par le recours préventif introduit par le demandeur. </w:t>
      </w:r>
      <w:bookmarkStart w:id="10" w:name="_Hlk95752026"/>
      <w:r w:rsidRPr="00401057">
        <w:t>Elle jugea ainsi que le recours indemnitaire</w:t>
      </w:r>
      <w:r w:rsidRPr="00401057" w:rsidDel="002966CE">
        <w:t xml:space="preserve"> </w:t>
      </w:r>
      <w:r w:rsidRPr="00401057">
        <w:t>était le seul recours disponible et qu</w:t>
      </w:r>
      <w:r w:rsidR="00401057" w:rsidRPr="00401057">
        <w:t>’</w:t>
      </w:r>
      <w:r w:rsidRPr="00401057">
        <w:t>obliger l</w:t>
      </w:r>
      <w:r w:rsidR="00401057" w:rsidRPr="00401057">
        <w:t>’</w:t>
      </w:r>
      <w:r w:rsidRPr="00401057">
        <w:t>intéressé à devoir attendre la conclusion de la procédure « signifiait subvertir la logique pour laquelle [le recours] avait été conçu », ce qui était incompatible avec la Constitution.</w:t>
      </w:r>
      <w:bookmarkEnd w:id="10"/>
    </w:p>
    <w:p w14:paraId="393D6E87" w14:textId="77777777" w:rsidR="00AB3CE0" w:rsidRPr="00401057" w:rsidRDefault="00AB3CE0" w:rsidP="00401057">
      <w:pPr>
        <w:pStyle w:val="JuHHead"/>
      </w:pPr>
      <w:r w:rsidRPr="00401057">
        <w:t>les documents internationaux pertinents</w:t>
      </w:r>
    </w:p>
    <w:bookmarkStart w:id="11" w:name="CM_2012"/>
    <w:p w14:paraId="04C5F41C" w14:textId="773AB785" w:rsidR="00AB3CE0" w:rsidRPr="00401057" w:rsidRDefault="00AB3CE0" w:rsidP="00401057">
      <w:pPr>
        <w:pStyle w:val="JuPara"/>
        <w:ind w:firstLine="425"/>
      </w:pPr>
      <w:r w:rsidRPr="00401057">
        <w:fldChar w:fldCharType="begin"/>
      </w:r>
      <w:r w:rsidRPr="00401057">
        <w:instrText xml:space="preserve"> SEQ level0 \*arabic \* MERGEFORMAT </w:instrText>
      </w:r>
      <w:r w:rsidRPr="00401057">
        <w:fldChar w:fldCharType="separate"/>
      </w:r>
      <w:r w:rsidR="00401057" w:rsidRPr="00401057">
        <w:rPr>
          <w:noProof/>
        </w:rPr>
        <w:t>9</w:t>
      </w:r>
      <w:r w:rsidRPr="00401057">
        <w:fldChar w:fldCharType="end"/>
      </w:r>
      <w:bookmarkEnd w:id="11"/>
      <w:r w:rsidRPr="00401057">
        <w:t>.  Lors de la réunion des ministres délégués du 4 au 6 décembre 2012, le Comité de Ministres a adopté une décision (CM/Del/Dec(2012)1157) dans laquelle il a relevé « avec préoccupation que de récentes modifications apportées à la loi Pinto, qui subordonnent l</w:t>
      </w:r>
      <w:r w:rsidR="00401057" w:rsidRPr="00401057">
        <w:t>’</w:t>
      </w:r>
      <w:r w:rsidRPr="00401057">
        <w:t>accès à la voie de recours prévue par cette loi au règlement définitif de la procédure principale (...) pourraient soulever des questions de compatibilité avec les exigences de la Convention et la jurisprudence de la Cour en matière d</w:t>
      </w:r>
      <w:r w:rsidR="00401057" w:rsidRPr="00401057">
        <w:t>’</w:t>
      </w:r>
      <w:r w:rsidRPr="00401057">
        <w:t>efficacité des voies de recours et de critères d</w:t>
      </w:r>
      <w:r w:rsidR="00401057" w:rsidRPr="00401057">
        <w:t>’</w:t>
      </w:r>
      <w:r w:rsidRPr="00401057">
        <w:t>indemnisation ».</w:t>
      </w:r>
    </w:p>
    <w:p w14:paraId="39327917" w14:textId="77777777" w:rsidR="00AB3CE0" w:rsidRPr="00401057" w:rsidRDefault="00AB3CE0" w:rsidP="00401057">
      <w:pPr>
        <w:pStyle w:val="JuHHead"/>
      </w:pPr>
      <w:bookmarkStart w:id="12" w:name="_Hlk36127250"/>
      <w:r w:rsidRPr="00401057">
        <w:rPr>
          <w:caps w:val="0"/>
        </w:rPr>
        <w:t>EN DROIT</w:t>
      </w:r>
    </w:p>
    <w:bookmarkEnd w:id="12"/>
    <w:p w14:paraId="605C338E" w14:textId="77777777" w:rsidR="00AB3CE0" w:rsidRPr="00401057" w:rsidRDefault="00AB3CE0" w:rsidP="00401057">
      <w:pPr>
        <w:pStyle w:val="JuHIRoman"/>
      </w:pPr>
      <w:r w:rsidRPr="00401057">
        <w:t>JONCTION DES REQUÊTES</w:t>
      </w:r>
    </w:p>
    <w:p w14:paraId="4C32C45F" w14:textId="59189FA1" w:rsidR="00AB3CE0" w:rsidRPr="00401057" w:rsidRDefault="00AB3CE0" w:rsidP="00401057">
      <w:pPr>
        <w:pStyle w:val="JuPara"/>
      </w:pPr>
      <w:r w:rsidRPr="00401057">
        <w:fldChar w:fldCharType="begin"/>
      </w:r>
      <w:r w:rsidRPr="00401057">
        <w:instrText xml:space="preserve"> SEQ level0 \*arabic </w:instrText>
      </w:r>
      <w:r w:rsidRPr="00401057">
        <w:fldChar w:fldCharType="separate"/>
      </w:r>
      <w:r w:rsidR="00401057" w:rsidRPr="00401057">
        <w:rPr>
          <w:noProof/>
        </w:rPr>
        <w:t>10</w:t>
      </w:r>
      <w:r w:rsidRPr="00401057">
        <w:fldChar w:fldCharType="end"/>
      </w:r>
      <w:r w:rsidRPr="00401057">
        <w:t>.  Eu égard à la similarité de l</w:t>
      </w:r>
      <w:r w:rsidR="00401057" w:rsidRPr="00401057">
        <w:t>’</w:t>
      </w:r>
      <w:r w:rsidRPr="00401057">
        <w:t>objet des requêtes, la Cour juge opportun de les examiner ensemble dans un arrêt unique.</w:t>
      </w:r>
    </w:p>
    <w:p w14:paraId="52A45F08" w14:textId="77777777" w:rsidR="00AB3CE0" w:rsidRPr="00401057" w:rsidRDefault="00AB3CE0" w:rsidP="00401057">
      <w:pPr>
        <w:pStyle w:val="JuHIRoman"/>
      </w:pPr>
      <w:bookmarkStart w:id="13" w:name="_Hlk36127423"/>
      <w:bookmarkStart w:id="14" w:name="_Hlk34839031"/>
      <w:r w:rsidRPr="00401057">
        <w:t>SUR LA VIOLATION ALLÉGUÉE DEs ARTICLEs 6 § 1 et 13 DE LA CONVENTION</w:t>
      </w:r>
      <w:bookmarkEnd w:id="13"/>
    </w:p>
    <w:p w14:paraId="06DE8CAD" w14:textId="3B24C59B" w:rsidR="00AB3CE0" w:rsidRPr="00401057" w:rsidRDefault="00AB3CE0" w:rsidP="00401057">
      <w:pPr>
        <w:pStyle w:val="JuPara"/>
      </w:pPr>
      <w:r w:rsidRPr="00401057">
        <w:fldChar w:fldCharType="begin"/>
      </w:r>
      <w:r w:rsidRPr="00401057">
        <w:instrText xml:space="preserve"> SEQ level0 \*arabic </w:instrText>
      </w:r>
      <w:r w:rsidRPr="00401057">
        <w:fldChar w:fldCharType="separate"/>
      </w:r>
      <w:r w:rsidR="00401057" w:rsidRPr="00401057">
        <w:rPr>
          <w:noProof/>
        </w:rPr>
        <w:t>11</w:t>
      </w:r>
      <w:r w:rsidRPr="00401057">
        <w:fldChar w:fldCharType="end"/>
      </w:r>
      <w:r w:rsidRPr="00401057">
        <w:t>.  Les requérants dénoncent la durée excessive des procédures suivies devant les juridictions internes (voir le tableau en annexe). Ils invoquent l</w:t>
      </w:r>
      <w:r w:rsidR="00401057" w:rsidRPr="00401057">
        <w:t>’</w:t>
      </w:r>
      <w:r w:rsidRPr="00401057">
        <w:t>article 6 § 1 de la Convention qui dispose en ses passages pertinents :</w:t>
      </w:r>
    </w:p>
    <w:p w14:paraId="22C7895D" w14:textId="77777777" w:rsidR="00AB3CE0" w:rsidRPr="00401057" w:rsidRDefault="00AB3CE0" w:rsidP="00401057">
      <w:pPr>
        <w:pStyle w:val="JuQuot"/>
      </w:pPr>
      <w:r w:rsidRPr="00401057">
        <w:t>« Toute personne a droit à ce que sa cause soit entendue (...) dans un délai raisonnable, par un tribunal (...) qui décidera (...) des contestations sur ses droits et obligations de caractère civil (...) »</w:t>
      </w:r>
    </w:p>
    <w:p w14:paraId="5BED7752" w14:textId="1EC8D2E9" w:rsidR="00AB3CE0" w:rsidRPr="00401057" w:rsidRDefault="00EC30E9" w:rsidP="00401057">
      <w:pPr>
        <w:pStyle w:val="JuPara"/>
      </w:pPr>
      <w:r>
        <w:lastRenderedPageBreak/>
        <w:fldChar w:fldCharType="begin"/>
      </w:r>
      <w:r>
        <w:instrText xml:space="preserve"> SEQ level0 \*arabic \* MERGEFORMAT </w:instrText>
      </w:r>
      <w:r>
        <w:fldChar w:fldCharType="separate"/>
      </w:r>
      <w:r w:rsidR="00401057" w:rsidRPr="00401057">
        <w:rPr>
          <w:noProof/>
        </w:rPr>
        <w:t>12</w:t>
      </w:r>
      <w:r>
        <w:rPr>
          <w:noProof/>
        </w:rPr>
        <w:fldChar w:fldCharType="end"/>
      </w:r>
      <w:r w:rsidR="00AB3CE0" w:rsidRPr="00401057">
        <w:t>.  Ils allèguent aussi qu</w:t>
      </w:r>
      <w:r w:rsidR="00401057" w:rsidRPr="00401057">
        <w:t>’</w:t>
      </w:r>
      <w:r w:rsidR="00AB3CE0" w:rsidRPr="00401057">
        <w:t>à la suite de la modification intervenue en 2012 de la loi Pinto, le recours prévu à l</w:t>
      </w:r>
      <w:r w:rsidR="00401057" w:rsidRPr="00401057">
        <w:t>’</w:t>
      </w:r>
      <w:r w:rsidR="00AB3CE0" w:rsidRPr="00401057">
        <w:t>article 4 de ladite loi n</w:t>
      </w:r>
      <w:r w:rsidR="00401057" w:rsidRPr="00401057">
        <w:t>’</w:t>
      </w:r>
      <w:r w:rsidR="00AB3CE0" w:rsidRPr="00401057">
        <w:t>était plus effectif au sens de l</w:t>
      </w:r>
      <w:r w:rsidR="00401057" w:rsidRPr="00401057">
        <w:t>’</w:t>
      </w:r>
      <w:r w:rsidR="00AB3CE0" w:rsidRPr="00401057">
        <w:t>article 13 de la Convention, ainsi libellé :</w:t>
      </w:r>
    </w:p>
    <w:p w14:paraId="40076A04" w14:textId="517FAF35" w:rsidR="00AB3CE0" w:rsidRPr="00401057" w:rsidRDefault="00AB3CE0" w:rsidP="00401057">
      <w:pPr>
        <w:pStyle w:val="JuQuot"/>
      </w:pPr>
      <w:r w:rsidRPr="00401057">
        <w:t>« Toute personne dont les droits et libertés reconnus dans la (...) Convention ont été violés, a droit à l</w:t>
      </w:r>
      <w:r w:rsidR="00401057" w:rsidRPr="00401057">
        <w:t>’</w:t>
      </w:r>
      <w:r w:rsidRPr="00401057">
        <w:t>octroi d</w:t>
      </w:r>
      <w:r w:rsidR="00401057" w:rsidRPr="00401057">
        <w:t>’</w:t>
      </w:r>
      <w:r w:rsidRPr="00401057">
        <w:t>un recours effectif devant une instance nationale, alors même que la violation aurait été commise par des personnes agissant dans l</w:t>
      </w:r>
      <w:r w:rsidR="00401057" w:rsidRPr="00401057">
        <w:t>’</w:t>
      </w:r>
      <w:r w:rsidRPr="00401057">
        <w:t>exercice de leurs fonctions officielles. »</w:t>
      </w:r>
    </w:p>
    <w:p w14:paraId="777B0480" w14:textId="77777777" w:rsidR="00AB3CE0" w:rsidRPr="00401057" w:rsidRDefault="00AB3CE0" w:rsidP="00401057">
      <w:pPr>
        <w:pStyle w:val="JuHA"/>
      </w:pPr>
      <w:bookmarkStart w:id="15" w:name="_Hlk36127545"/>
      <w:r w:rsidRPr="00401057">
        <w:t>Sur la recevabilité</w:t>
      </w:r>
      <w:bookmarkEnd w:id="15"/>
    </w:p>
    <w:p w14:paraId="456895AA" w14:textId="51C6FCF8" w:rsidR="00AB3CE0" w:rsidRPr="00401057" w:rsidRDefault="00AB3CE0" w:rsidP="00401057">
      <w:pPr>
        <w:pStyle w:val="JuPara"/>
      </w:pPr>
      <w:r w:rsidRPr="00401057">
        <w:fldChar w:fldCharType="begin"/>
      </w:r>
      <w:r w:rsidRPr="00401057">
        <w:instrText xml:space="preserve"> SEQ level0 \*arabic </w:instrText>
      </w:r>
      <w:r w:rsidRPr="00401057">
        <w:fldChar w:fldCharType="separate"/>
      </w:r>
      <w:r w:rsidR="00401057" w:rsidRPr="00401057">
        <w:rPr>
          <w:noProof/>
        </w:rPr>
        <w:t>13</w:t>
      </w:r>
      <w:r w:rsidRPr="00401057">
        <w:fldChar w:fldCharType="end"/>
      </w:r>
      <w:r w:rsidRPr="00401057">
        <w:t>.  </w:t>
      </w:r>
      <w:bookmarkStart w:id="16" w:name="_Hlk36127558"/>
      <w:r w:rsidRPr="00401057">
        <w:t>Le Gouvernement soutient que les requérants n</w:t>
      </w:r>
      <w:r w:rsidR="00401057" w:rsidRPr="00401057">
        <w:t>’</w:t>
      </w:r>
      <w:r w:rsidRPr="00401057">
        <w:t>ont pas satisfait à l</w:t>
      </w:r>
      <w:r w:rsidR="00401057" w:rsidRPr="00401057">
        <w:t>’</w:t>
      </w:r>
      <w:r w:rsidRPr="00401057">
        <w:t>exigence de l</w:t>
      </w:r>
      <w:r w:rsidR="00401057" w:rsidRPr="00401057">
        <w:t>’</w:t>
      </w:r>
      <w:r w:rsidRPr="00401057">
        <w:t>épuisement des voies de recours internes. S</w:t>
      </w:r>
      <w:r w:rsidR="00401057" w:rsidRPr="00401057">
        <w:t>’</w:t>
      </w:r>
      <w:r w:rsidRPr="00401057">
        <w:t>appuyant sur la jurisprudence établie de la Cour, il argue que le recours prévu par la loi Pinto a toujours été considéré comme un recours effectif. Il maintient en outre qu</w:t>
      </w:r>
      <w:r w:rsidR="00401057" w:rsidRPr="00401057">
        <w:t>’</w:t>
      </w:r>
      <w:r w:rsidRPr="00401057">
        <w:t>à la suite de l</w:t>
      </w:r>
      <w:r w:rsidR="00401057" w:rsidRPr="00401057">
        <w:t>’</w:t>
      </w:r>
      <w:r w:rsidRPr="00401057">
        <w:t>adoption de l</w:t>
      </w:r>
      <w:r w:rsidR="00401057" w:rsidRPr="00401057">
        <w:t>’</w:t>
      </w:r>
      <w:r w:rsidRPr="00401057">
        <w:t xml:space="preserve">arrêt de 2018 rendu par la Cour constitutionnelle (paragraphe </w:t>
      </w:r>
      <w:r w:rsidRPr="00401057">
        <w:fldChar w:fldCharType="begin"/>
      </w:r>
      <w:r w:rsidRPr="00401057">
        <w:instrText xml:space="preserve"> REF CCOST_2018 \h </w:instrText>
      </w:r>
      <w:r w:rsidR="008008B8" w:rsidRPr="00401057">
        <w:instrText xml:space="preserve"> \* MERGEFORMAT </w:instrText>
      </w:r>
      <w:r w:rsidRPr="00401057">
        <w:fldChar w:fldCharType="separate"/>
      </w:r>
      <w:r w:rsidR="00401057" w:rsidRPr="00401057">
        <w:rPr>
          <w:noProof/>
        </w:rPr>
        <w:t>8</w:t>
      </w:r>
      <w:r w:rsidRPr="00401057">
        <w:fldChar w:fldCharType="end"/>
      </w:r>
      <w:r w:rsidRPr="00401057">
        <w:t xml:space="preserve"> ci-dessus), les intéressés pouvaient de nouveau saisir la juridiction compétente d</w:t>
      </w:r>
      <w:r w:rsidR="00401057" w:rsidRPr="00401057">
        <w:t>’</w:t>
      </w:r>
      <w:r w:rsidRPr="00401057">
        <w:t>un recours indemnitaire pendant la procédure principale ou après la conclusion de celle-ci.</w:t>
      </w:r>
      <w:bookmarkEnd w:id="16"/>
    </w:p>
    <w:p w14:paraId="58427BA4" w14:textId="324CC829" w:rsidR="00AB3CE0" w:rsidRPr="00401057" w:rsidRDefault="00AB3CE0" w:rsidP="00401057">
      <w:pPr>
        <w:pStyle w:val="JuPara"/>
      </w:pPr>
      <w:r w:rsidRPr="00401057">
        <w:fldChar w:fldCharType="begin"/>
      </w:r>
      <w:r w:rsidRPr="00401057">
        <w:instrText xml:space="preserve"> SEQ level0 \*arabic </w:instrText>
      </w:r>
      <w:r w:rsidRPr="00401057">
        <w:fldChar w:fldCharType="separate"/>
      </w:r>
      <w:r w:rsidR="00401057" w:rsidRPr="00401057">
        <w:rPr>
          <w:noProof/>
        </w:rPr>
        <w:t>14</w:t>
      </w:r>
      <w:r w:rsidRPr="00401057">
        <w:fldChar w:fldCharType="end"/>
      </w:r>
      <w:r w:rsidRPr="00401057">
        <w:t>.  Les requérants allèguent qu</w:t>
      </w:r>
      <w:r w:rsidR="00401057" w:rsidRPr="00401057">
        <w:t>’</w:t>
      </w:r>
      <w:r w:rsidRPr="00401057">
        <w:t>ils n</w:t>
      </w:r>
      <w:r w:rsidR="00401057" w:rsidRPr="00401057">
        <w:t>’</w:t>
      </w:r>
      <w:r w:rsidRPr="00401057">
        <w:t>étaient pas tenus d</w:t>
      </w:r>
      <w:r w:rsidR="00401057" w:rsidRPr="00401057">
        <w:t>’</w:t>
      </w:r>
      <w:r w:rsidRPr="00401057">
        <w:t xml:space="preserve">exercer un tel recours, ineffectif depuis la réforme de 2012 (paragraphe </w:t>
      </w:r>
      <w:r w:rsidRPr="00401057">
        <w:fldChar w:fldCharType="begin"/>
      </w:r>
      <w:r w:rsidRPr="00401057">
        <w:instrText xml:space="preserve"> REF loi_PINTO \h </w:instrText>
      </w:r>
      <w:r w:rsidR="008008B8" w:rsidRPr="00401057">
        <w:instrText xml:space="preserve"> \* MERGEFORMAT </w:instrText>
      </w:r>
      <w:r w:rsidRPr="00401057">
        <w:fldChar w:fldCharType="separate"/>
      </w:r>
      <w:r w:rsidR="00401057" w:rsidRPr="00401057">
        <w:rPr>
          <w:noProof/>
        </w:rPr>
        <w:t>6</w:t>
      </w:r>
      <w:r w:rsidRPr="00401057">
        <w:fldChar w:fldCharType="end"/>
      </w:r>
      <w:r w:rsidRPr="00401057">
        <w:t xml:space="preserve"> ci-dessus), qui les aurait empêchés d</w:t>
      </w:r>
      <w:r w:rsidR="00401057" w:rsidRPr="00401057">
        <w:t>’</w:t>
      </w:r>
      <w:r w:rsidRPr="00401057">
        <w:t>obtenir une réparation pour le préjudice subi, causé par la durée de la procédure qui, au moment de l</w:t>
      </w:r>
      <w:r w:rsidR="00401057" w:rsidRPr="00401057">
        <w:t>’</w:t>
      </w:r>
      <w:r w:rsidRPr="00401057">
        <w:t>introduction de chaque requête, était déjà excessivement longue.</w:t>
      </w:r>
    </w:p>
    <w:p w14:paraId="098E171A" w14:textId="7CBE329E" w:rsidR="00AB3CE0" w:rsidRPr="00401057" w:rsidRDefault="00EC30E9" w:rsidP="00401057">
      <w:pPr>
        <w:pStyle w:val="JuPara"/>
      </w:pPr>
      <w:r>
        <w:fldChar w:fldCharType="begin"/>
      </w:r>
      <w:r>
        <w:instrText xml:space="preserve"> SEQ level0 \*arabic \* MERGEFORMAT </w:instrText>
      </w:r>
      <w:r>
        <w:fldChar w:fldCharType="separate"/>
      </w:r>
      <w:r w:rsidR="00401057" w:rsidRPr="00401057">
        <w:rPr>
          <w:noProof/>
        </w:rPr>
        <w:t>15</w:t>
      </w:r>
      <w:r>
        <w:rPr>
          <w:noProof/>
        </w:rPr>
        <w:fldChar w:fldCharType="end"/>
      </w:r>
      <w:r w:rsidR="00AB3CE0" w:rsidRPr="00401057">
        <w:t>.  La Cour considère que l</w:t>
      </w:r>
      <w:r w:rsidR="00401057" w:rsidRPr="00401057">
        <w:t>’</w:t>
      </w:r>
      <w:r w:rsidR="00AB3CE0" w:rsidRPr="00401057">
        <w:t>exception de non-épuisement des voies de recours internes soulevée par le Gouvernement est étroitement liée à la question de l</w:t>
      </w:r>
      <w:r w:rsidR="00401057" w:rsidRPr="00401057">
        <w:t>’</w:t>
      </w:r>
      <w:r w:rsidR="00AB3CE0" w:rsidRPr="00401057">
        <w:t>existence d</w:t>
      </w:r>
      <w:r w:rsidR="00401057" w:rsidRPr="00401057">
        <w:t>’</w:t>
      </w:r>
      <w:r w:rsidR="00AB3CE0" w:rsidRPr="00401057">
        <w:t>un recours effectif au sens de l</w:t>
      </w:r>
      <w:r w:rsidR="00401057" w:rsidRPr="00401057">
        <w:t>’</w:t>
      </w:r>
      <w:r w:rsidR="00AB3CE0" w:rsidRPr="00401057">
        <w:t>article 13 de la Convention (</w:t>
      </w:r>
      <w:r w:rsidR="00AB3CE0" w:rsidRPr="00401057">
        <w:rPr>
          <w:i/>
        </w:rPr>
        <w:t>Olivieri et autres</w:t>
      </w:r>
      <w:r w:rsidR="00AB3CE0" w:rsidRPr="00401057">
        <w:t xml:space="preserve">, précité, </w:t>
      </w:r>
      <w:r w:rsidR="00AB3CE0" w:rsidRPr="00401057">
        <w:rPr>
          <w:snapToGrid w:val="0"/>
        </w:rPr>
        <w:t>§ 35, avec la jurisprudence citée</w:t>
      </w:r>
      <w:r w:rsidR="00AB3CE0" w:rsidRPr="00401057">
        <w:t>). Partant, elle décide que cette exception sera examinée lors de l</w:t>
      </w:r>
      <w:r w:rsidR="00401057" w:rsidRPr="00401057">
        <w:t>’</w:t>
      </w:r>
      <w:r w:rsidR="00AB3CE0" w:rsidRPr="00401057">
        <w:t>examen du bien-fondé de l</w:t>
      </w:r>
      <w:r w:rsidR="00401057" w:rsidRPr="00401057">
        <w:t>’</w:t>
      </w:r>
      <w:r w:rsidR="00AB3CE0" w:rsidRPr="00401057">
        <w:t>article 13, compte tenu des affinités étroites que présentent les articles 35 § 1 et 13 de la Convention (</w:t>
      </w:r>
      <w:r w:rsidR="00AB3CE0" w:rsidRPr="00401057">
        <w:rPr>
          <w:i/>
          <w:iCs/>
        </w:rPr>
        <w:t>Kudła c. Pologne</w:t>
      </w:r>
      <w:r w:rsidR="00AB3CE0" w:rsidRPr="00401057">
        <w:t xml:space="preserve"> [GC], n</w:t>
      </w:r>
      <w:r w:rsidR="00AB3CE0" w:rsidRPr="00401057">
        <w:rPr>
          <w:vertAlign w:val="superscript"/>
        </w:rPr>
        <w:t>o</w:t>
      </w:r>
      <w:r w:rsidR="00AB3CE0" w:rsidRPr="00401057">
        <w:t> 30210/96, § 152, CEDH 2000-XI).</w:t>
      </w:r>
    </w:p>
    <w:p w14:paraId="2B18EFBA" w14:textId="1397BE5E" w:rsidR="00AB3CE0" w:rsidRPr="00401057" w:rsidRDefault="00AB3CE0" w:rsidP="00401057">
      <w:pPr>
        <w:pStyle w:val="JuPara"/>
      </w:pPr>
      <w:r w:rsidRPr="00401057">
        <w:fldChar w:fldCharType="begin"/>
      </w:r>
      <w:r w:rsidRPr="00401057">
        <w:instrText xml:space="preserve"> SEQ level0 \*arabic </w:instrText>
      </w:r>
      <w:r w:rsidRPr="00401057">
        <w:fldChar w:fldCharType="separate"/>
      </w:r>
      <w:r w:rsidR="00401057" w:rsidRPr="00401057">
        <w:rPr>
          <w:noProof/>
        </w:rPr>
        <w:t>16</w:t>
      </w:r>
      <w:r w:rsidRPr="00401057">
        <w:fldChar w:fldCharType="end"/>
      </w:r>
      <w:r w:rsidRPr="00401057">
        <w:t>.  </w:t>
      </w:r>
      <w:bookmarkStart w:id="17" w:name="_Hlk36127606"/>
      <w:r w:rsidRPr="00401057">
        <w:t>Constatant que les requêtes ne sont pas manifestement mal fondées ni irrecevables pour un autre motif visé à l</w:t>
      </w:r>
      <w:r w:rsidR="00401057" w:rsidRPr="00401057">
        <w:t>’</w:t>
      </w:r>
      <w:r w:rsidRPr="00401057">
        <w:t>article 35 de la Convention, la Cour les déclare recevables.</w:t>
      </w:r>
      <w:bookmarkEnd w:id="17"/>
    </w:p>
    <w:p w14:paraId="76B17DA5" w14:textId="77777777" w:rsidR="00AB3CE0" w:rsidRPr="00401057" w:rsidRDefault="00AB3CE0" w:rsidP="00401057">
      <w:pPr>
        <w:pStyle w:val="JuHA"/>
      </w:pPr>
      <w:bookmarkStart w:id="18" w:name="_Hlk36127650"/>
      <w:r w:rsidRPr="00401057">
        <w:t>Sur le fond</w:t>
      </w:r>
      <w:bookmarkEnd w:id="18"/>
    </w:p>
    <w:p w14:paraId="122E234C" w14:textId="557E3242" w:rsidR="00AB3CE0" w:rsidRPr="00401057" w:rsidRDefault="00AB3CE0" w:rsidP="00401057">
      <w:pPr>
        <w:pStyle w:val="JuH1"/>
      </w:pPr>
      <w:r w:rsidRPr="00401057">
        <w:t>Sur l</w:t>
      </w:r>
      <w:r w:rsidR="00401057" w:rsidRPr="00401057">
        <w:t>’</w:t>
      </w:r>
      <w:r w:rsidRPr="00401057">
        <w:t>épuisement des voies de recours et la violation alléguée de l</w:t>
      </w:r>
      <w:r w:rsidR="00401057" w:rsidRPr="00401057">
        <w:t>’</w:t>
      </w:r>
      <w:r w:rsidRPr="00401057">
        <w:t>article 13 de la Convention</w:t>
      </w:r>
    </w:p>
    <w:p w14:paraId="0F0CD3EF" w14:textId="77777777" w:rsidR="00AB3CE0" w:rsidRPr="00401057" w:rsidRDefault="00AB3CE0" w:rsidP="00401057">
      <w:pPr>
        <w:pStyle w:val="JuHa0"/>
      </w:pPr>
      <w:r w:rsidRPr="00401057">
        <w:t>Principes généraux</w:t>
      </w:r>
    </w:p>
    <w:p w14:paraId="7A2B2993" w14:textId="05D40EFB" w:rsidR="00AB3CE0" w:rsidRPr="00401057" w:rsidRDefault="00EC30E9" w:rsidP="00401057">
      <w:pPr>
        <w:pStyle w:val="JuPara"/>
      </w:pPr>
      <w:r>
        <w:fldChar w:fldCharType="begin"/>
      </w:r>
      <w:r>
        <w:instrText xml:space="preserve"> SEQ level0 \*arabic \* MERGEFORMAT </w:instrText>
      </w:r>
      <w:r>
        <w:fldChar w:fldCharType="separate"/>
      </w:r>
      <w:r w:rsidR="00401057" w:rsidRPr="00401057">
        <w:rPr>
          <w:noProof/>
        </w:rPr>
        <w:t>17</w:t>
      </w:r>
      <w:r>
        <w:rPr>
          <w:noProof/>
        </w:rPr>
        <w:fldChar w:fldCharType="end"/>
      </w:r>
      <w:r w:rsidR="00AB3CE0" w:rsidRPr="00401057">
        <w:t>.  La Cour renvoie aux principes énoncés dans l</w:t>
      </w:r>
      <w:r w:rsidR="00401057" w:rsidRPr="00401057">
        <w:t>’</w:t>
      </w:r>
      <w:r w:rsidR="00AB3CE0" w:rsidRPr="00401057">
        <w:t xml:space="preserve">arrêt </w:t>
      </w:r>
      <w:r w:rsidR="00AB3CE0" w:rsidRPr="00401057">
        <w:rPr>
          <w:i/>
        </w:rPr>
        <w:t xml:space="preserve">Olivieri et autres </w:t>
      </w:r>
      <w:r w:rsidR="00AB3CE0" w:rsidRPr="00401057">
        <w:rPr>
          <w:iCs/>
        </w:rPr>
        <w:t xml:space="preserve">(précité, </w:t>
      </w:r>
      <w:r w:rsidR="00AB3CE0" w:rsidRPr="00401057">
        <w:rPr>
          <w:iCs/>
          <w:snapToGrid w:val="0"/>
        </w:rPr>
        <w:t>§§ 39-47</w:t>
      </w:r>
      <w:r w:rsidR="00AB3CE0" w:rsidRPr="00401057">
        <w:rPr>
          <w:snapToGrid w:val="0"/>
        </w:rPr>
        <w:t>). En particulier, elle rappelle que, pour pouvoir être jugé effectif, un recours doit être susceptible de remédier directement à la situation dénoncée et présenter des perspectives raisonnables de succès (</w:t>
      </w:r>
      <w:r w:rsidR="00AB3CE0" w:rsidRPr="00401057">
        <w:rPr>
          <w:i/>
          <w:iCs/>
          <w:snapToGrid w:val="0"/>
        </w:rPr>
        <w:t>ibidem</w:t>
      </w:r>
      <w:r w:rsidR="00AB3CE0" w:rsidRPr="00401057">
        <w:rPr>
          <w:snapToGrid w:val="0"/>
        </w:rPr>
        <w:t xml:space="preserve">, § 43). </w:t>
      </w:r>
      <w:r w:rsidR="00AB3CE0" w:rsidRPr="00401057">
        <w:rPr>
          <w:snapToGrid w:val="0"/>
        </w:rPr>
        <w:lastRenderedPageBreak/>
        <w:t>Concernant la durée de la procédure, les recours dont un justiciable dispose au plan interne sont « effectifs », au sens de l</w:t>
      </w:r>
      <w:r w:rsidR="00401057" w:rsidRPr="00401057">
        <w:rPr>
          <w:snapToGrid w:val="0"/>
        </w:rPr>
        <w:t>’</w:t>
      </w:r>
      <w:r w:rsidR="00AB3CE0" w:rsidRPr="00401057">
        <w:rPr>
          <w:snapToGrid w:val="0"/>
        </w:rPr>
        <w:t>article 13 de la Convention, dès lors qu</w:t>
      </w:r>
      <w:r w:rsidR="00401057" w:rsidRPr="00401057">
        <w:rPr>
          <w:snapToGrid w:val="0"/>
        </w:rPr>
        <w:t>’</w:t>
      </w:r>
      <w:r w:rsidR="00AB3CE0" w:rsidRPr="00401057">
        <w:rPr>
          <w:snapToGrid w:val="0"/>
        </w:rPr>
        <w:t xml:space="preserve">ils permettent soit de faire intervenir plus tôt la décision des juridictions saisies, soit de fournir au justiciable une réparation adéquate pour les retards déjà accusés </w:t>
      </w:r>
      <w:r w:rsidR="00AB3CE0" w:rsidRPr="00401057">
        <w:t>(</w:t>
      </w:r>
      <w:r w:rsidR="00AB3CE0" w:rsidRPr="00401057">
        <w:rPr>
          <w:i/>
        </w:rPr>
        <w:t>Kudła</w:t>
      </w:r>
      <w:r w:rsidR="00AB3CE0" w:rsidRPr="00401057">
        <w:t xml:space="preserve">, précité, § 159, </w:t>
      </w:r>
      <w:r w:rsidR="00AB3CE0" w:rsidRPr="00401057">
        <w:rPr>
          <w:iCs/>
        </w:rPr>
        <w:t xml:space="preserve">et </w:t>
      </w:r>
      <w:r w:rsidR="00AB3CE0" w:rsidRPr="00401057">
        <w:rPr>
          <w:i/>
        </w:rPr>
        <w:t>Vassilios Athanasiou et autres c. Grèce</w:t>
      </w:r>
      <w:r w:rsidR="00AB3CE0" w:rsidRPr="00401057">
        <w:t>, n</w:t>
      </w:r>
      <w:r w:rsidR="00AB3CE0" w:rsidRPr="00401057">
        <w:rPr>
          <w:vertAlign w:val="superscript"/>
        </w:rPr>
        <w:t>o</w:t>
      </w:r>
      <w:r w:rsidR="00AB3CE0" w:rsidRPr="00401057">
        <w:t xml:space="preserve"> 50973/08, § 54, 21 décembre 2010).</w:t>
      </w:r>
    </w:p>
    <w:p w14:paraId="64E6DD9E" w14:textId="08986A7B" w:rsidR="00AB3CE0" w:rsidRPr="00401057" w:rsidRDefault="00EC30E9" w:rsidP="00401057">
      <w:pPr>
        <w:pStyle w:val="JuPara"/>
      </w:pPr>
      <w:r>
        <w:fldChar w:fldCharType="begin"/>
      </w:r>
      <w:r>
        <w:instrText xml:space="preserve"> SEQ level0 \*arabic \* MERGEFORMAT </w:instrText>
      </w:r>
      <w:r>
        <w:fldChar w:fldCharType="separate"/>
      </w:r>
      <w:r w:rsidR="00401057" w:rsidRPr="00401057">
        <w:rPr>
          <w:noProof/>
        </w:rPr>
        <w:t>18</w:t>
      </w:r>
      <w:r>
        <w:rPr>
          <w:noProof/>
        </w:rPr>
        <w:fldChar w:fldCharType="end"/>
      </w:r>
      <w:r w:rsidR="00AB3CE0" w:rsidRPr="00401057">
        <w:t>.  Elle rappelle également avoir indiqué à maintes reprises que le meilleur remède dans l</w:t>
      </w:r>
      <w:r w:rsidR="00401057" w:rsidRPr="00401057">
        <w:t>’</w:t>
      </w:r>
      <w:r w:rsidR="00AB3CE0" w:rsidRPr="00401057">
        <w:t>absolu est, comme dans de nombreux domaines, la prévention (voir, parmi d</w:t>
      </w:r>
      <w:r w:rsidR="00401057" w:rsidRPr="00401057">
        <w:t>’</w:t>
      </w:r>
      <w:r w:rsidR="00AB3CE0" w:rsidRPr="00401057">
        <w:t xml:space="preserve">autres, </w:t>
      </w:r>
      <w:r w:rsidR="00AB3CE0" w:rsidRPr="00401057">
        <w:rPr>
          <w:i/>
        </w:rPr>
        <w:t xml:space="preserve">Cocchiarella </w:t>
      </w:r>
      <w:r w:rsidR="00AB3CE0" w:rsidRPr="00401057">
        <w:t>[GC], §</w:t>
      </w:r>
      <w:r w:rsidR="001D5A62" w:rsidRPr="00401057">
        <w:t> </w:t>
      </w:r>
      <w:r w:rsidR="00AB3CE0" w:rsidRPr="00401057">
        <w:t xml:space="preserve">74, </w:t>
      </w:r>
      <w:r w:rsidR="001D5A62" w:rsidRPr="00401057">
        <w:t>précité</w:t>
      </w:r>
      <w:r w:rsidR="00AB3CE0" w:rsidRPr="00401057">
        <w:t>). Néanmoins, il est aussi évident que, pour les pays où existent déjà des violations liées à la durée de procédures, un recours tendant uniquement à accélérer la procédure, s</w:t>
      </w:r>
      <w:r w:rsidR="00401057" w:rsidRPr="00401057">
        <w:t>’</w:t>
      </w:r>
      <w:r w:rsidR="00AB3CE0" w:rsidRPr="00401057">
        <w:t>il serait souhaitable pour l</w:t>
      </w:r>
      <w:r w:rsidR="00401057" w:rsidRPr="00401057">
        <w:t>’</w:t>
      </w:r>
      <w:r w:rsidR="00AB3CE0" w:rsidRPr="00401057">
        <w:t>avenir, peut ne pas être suffisant pour redresser une situation où il est manifeste que la procédure s</w:t>
      </w:r>
      <w:r w:rsidR="00401057" w:rsidRPr="00401057">
        <w:t>’</w:t>
      </w:r>
      <w:r w:rsidR="00AB3CE0" w:rsidRPr="00401057">
        <w:t>est déjà étendue sur une période excessive (</w:t>
      </w:r>
      <w:r w:rsidR="00AB3CE0" w:rsidRPr="00401057">
        <w:rPr>
          <w:i/>
          <w:iCs/>
        </w:rPr>
        <w:t>ibidem</w:t>
      </w:r>
      <w:r w:rsidR="00AB3CE0" w:rsidRPr="00401057">
        <w:t>, § 76).</w:t>
      </w:r>
    </w:p>
    <w:p w14:paraId="07D0E1ED" w14:textId="6EFFBA36" w:rsidR="00AB3CE0" w:rsidRPr="00401057" w:rsidRDefault="00AB3CE0" w:rsidP="00401057">
      <w:pPr>
        <w:pStyle w:val="JuHa0"/>
      </w:pPr>
      <w:r w:rsidRPr="00401057">
        <w:t>Application de ces principes aux cas d</w:t>
      </w:r>
      <w:r w:rsidR="00401057" w:rsidRPr="00401057">
        <w:t>’</w:t>
      </w:r>
      <w:r w:rsidRPr="00401057">
        <w:t>espèce</w:t>
      </w:r>
    </w:p>
    <w:p w14:paraId="7377E74F" w14:textId="7DCF6B47" w:rsidR="00AB3CE0" w:rsidRPr="00401057" w:rsidRDefault="00EC30E9" w:rsidP="00401057">
      <w:pPr>
        <w:pStyle w:val="JuPara"/>
      </w:pPr>
      <w:r>
        <w:fldChar w:fldCharType="begin"/>
      </w:r>
      <w:r>
        <w:instrText xml:space="preserve"> SEQ level0 \*arabic \* MERGEFORMAT </w:instrText>
      </w:r>
      <w:r>
        <w:fldChar w:fldCharType="separate"/>
      </w:r>
      <w:r w:rsidR="00401057" w:rsidRPr="00401057">
        <w:rPr>
          <w:noProof/>
        </w:rPr>
        <w:t>19</w:t>
      </w:r>
      <w:r>
        <w:rPr>
          <w:noProof/>
        </w:rPr>
        <w:fldChar w:fldCharType="end"/>
      </w:r>
      <w:r w:rsidR="00AB3CE0" w:rsidRPr="00401057">
        <w:t>.  Sans anticiper l</w:t>
      </w:r>
      <w:r w:rsidR="00401057" w:rsidRPr="00401057">
        <w:t>’</w:t>
      </w:r>
      <w:r w:rsidR="00AB3CE0" w:rsidRPr="00401057">
        <w:t>examen de la question de savoir s</w:t>
      </w:r>
      <w:r w:rsidR="00401057" w:rsidRPr="00401057">
        <w:t>’</w:t>
      </w:r>
      <w:r w:rsidR="00AB3CE0" w:rsidRPr="00401057">
        <w:t xml:space="preserve">il y a eu ou non dépassement du délai raisonnable, la Cour estime que le grief des requérants visant la durée des procédures dans lesquelles ils étaient engagés constitue </w:t>
      </w:r>
      <w:r w:rsidR="00AB3CE0" w:rsidRPr="00401057">
        <w:rPr>
          <w:i/>
          <w:iCs/>
        </w:rPr>
        <w:t>prima facie</w:t>
      </w:r>
      <w:r w:rsidR="00AB3CE0" w:rsidRPr="00401057">
        <w:t xml:space="preserve"> un grief « défendable ». Les procédures en cause ont en effet duré de neuf à plus de vingt-quatre ans (voir le tableau en annexe). Les intéressés avaient ainsi droit à un recours effectif à cet égard (</w:t>
      </w:r>
      <w:r w:rsidR="00AB3CE0" w:rsidRPr="00401057">
        <w:rPr>
          <w:i/>
        </w:rPr>
        <w:t>Sürmeli c. Allemagne</w:t>
      </w:r>
      <w:r w:rsidR="00AB3CE0" w:rsidRPr="00401057">
        <w:t xml:space="preserve"> [GC], n</w:t>
      </w:r>
      <w:r w:rsidR="00AB3CE0" w:rsidRPr="00401057">
        <w:rPr>
          <w:vertAlign w:val="superscript"/>
        </w:rPr>
        <w:t>o</w:t>
      </w:r>
      <w:r w:rsidR="00AB3CE0" w:rsidRPr="00401057">
        <w:t xml:space="preserve"> 75529/01, § 102, CEDH 2006</w:t>
      </w:r>
      <w:r w:rsidR="00AB3CE0" w:rsidRPr="00401057">
        <w:noBreakHyphen/>
        <w:t xml:space="preserve">VII, et </w:t>
      </w:r>
      <w:r w:rsidR="00AB3CE0" w:rsidRPr="00401057">
        <w:rPr>
          <w:i/>
          <w:iCs/>
        </w:rPr>
        <w:t>Olivieri et autres</w:t>
      </w:r>
      <w:r w:rsidR="00AB3CE0" w:rsidRPr="00401057">
        <w:t>, précité,</w:t>
      </w:r>
      <w:r w:rsidR="004E438D" w:rsidRPr="00401057">
        <w:t> </w:t>
      </w:r>
      <w:r w:rsidR="00AB3CE0" w:rsidRPr="00401057">
        <w:t>§ 48).</w:t>
      </w:r>
    </w:p>
    <w:p w14:paraId="59F1B3F7" w14:textId="6158DB7B" w:rsidR="00AB3CE0" w:rsidRPr="00401057" w:rsidRDefault="00AB3CE0" w:rsidP="00401057">
      <w:pPr>
        <w:pStyle w:val="JuPara"/>
      </w:pPr>
      <w:r w:rsidRPr="00401057">
        <w:fldChar w:fldCharType="begin"/>
      </w:r>
      <w:r w:rsidRPr="00401057">
        <w:instrText xml:space="preserve"> SEQ level0 \*arabic </w:instrText>
      </w:r>
      <w:r w:rsidRPr="00401057">
        <w:fldChar w:fldCharType="separate"/>
      </w:r>
      <w:r w:rsidR="00401057" w:rsidRPr="00401057">
        <w:rPr>
          <w:noProof/>
        </w:rPr>
        <w:t>20</w:t>
      </w:r>
      <w:r w:rsidRPr="00401057">
        <w:fldChar w:fldCharType="end"/>
      </w:r>
      <w:r w:rsidRPr="00401057">
        <w:t>.  Dans leurs observations, les requérants rappellent qu</w:t>
      </w:r>
      <w:r w:rsidR="00401057" w:rsidRPr="00401057">
        <w:t>’</w:t>
      </w:r>
      <w:r w:rsidRPr="00401057">
        <w:t>au moment de l</w:t>
      </w:r>
      <w:r w:rsidR="00401057" w:rsidRPr="00401057">
        <w:t>’</w:t>
      </w:r>
      <w:r w:rsidRPr="00401057">
        <w:t>introduction de chaque requête, les procédures avaient amplement dépassé le délai raisonnable. Ils estiment ainsi que l</w:t>
      </w:r>
      <w:r w:rsidR="00401057" w:rsidRPr="00401057">
        <w:t>’</w:t>
      </w:r>
      <w:r w:rsidRPr="00401057">
        <w:t>interdiction prévue à l</w:t>
      </w:r>
      <w:r w:rsidR="00401057" w:rsidRPr="00401057">
        <w:t>’</w:t>
      </w:r>
      <w:r w:rsidRPr="00401057">
        <w:t>article 4</w:t>
      </w:r>
      <w:r w:rsidR="004E438D" w:rsidRPr="00401057">
        <w:t> </w:t>
      </w:r>
      <w:r w:rsidRPr="00401057">
        <w:t>de la loi Pinto de présenter une demande de réparation avant la conclusion de la procédure principale aurait rendu ce recours ineffectif.</w:t>
      </w:r>
    </w:p>
    <w:p w14:paraId="2891E4B9" w14:textId="5502781D" w:rsidR="00AB3CE0" w:rsidRPr="00401057" w:rsidRDefault="00AB3CE0" w:rsidP="00401057">
      <w:pPr>
        <w:pStyle w:val="JuPara"/>
      </w:pPr>
      <w:r w:rsidRPr="00401057">
        <w:fldChar w:fldCharType="begin"/>
      </w:r>
      <w:r w:rsidRPr="00401057">
        <w:instrText xml:space="preserve"> SEQ level0 \*arabic </w:instrText>
      </w:r>
      <w:r w:rsidRPr="00401057">
        <w:fldChar w:fldCharType="separate"/>
      </w:r>
      <w:r w:rsidR="00401057" w:rsidRPr="00401057">
        <w:rPr>
          <w:noProof/>
        </w:rPr>
        <w:t>21</w:t>
      </w:r>
      <w:r w:rsidRPr="00401057">
        <w:fldChar w:fldCharType="end"/>
      </w:r>
      <w:r w:rsidRPr="00401057">
        <w:t xml:space="preserve">.  Le Gouvernement conteste cette thèse. </w:t>
      </w:r>
      <w:bookmarkStart w:id="19" w:name="_Hlk96411405"/>
      <w:r w:rsidRPr="00401057">
        <w:t>Il soutient qu</w:t>
      </w:r>
      <w:r w:rsidR="00401057" w:rsidRPr="00401057">
        <w:t>’</w:t>
      </w:r>
      <w:r w:rsidRPr="00401057">
        <w:t>avec la loi</w:t>
      </w:r>
      <w:r w:rsidR="004E438D" w:rsidRPr="00401057">
        <w:t> </w:t>
      </w:r>
      <w:r w:rsidRPr="00401057">
        <w:t>n</w:t>
      </w:r>
      <w:r w:rsidRPr="00401057">
        <w:rPr>
          <w:vertAlign w:val="superscript"/>
        </w:rPr>
        <w:t>o</w:t>
      </w:r>
      <w:r w:rsidRPr="00401057">
        <w:t> 134</w:t>
      </w:r>
      <w:r w:rsidR="004E438D" w:rsidRPr="00401057">
        <w:t> </w:t>
      </w:r>
      <w:r w:rsidRPr="00401057">
        <w:t>du 7 août 2012, le législateur italien a effectivement opté pour un éventail de recours</w:t>
      </w:r>
      <w:r w:rsidRPr="00401057" w:rsidDel="00283034">
        <w:t xml:space="preserve"> </w:t>
      </w:r>
      <w:r w:rsidRPr="00401057">
        <w:t xml:space="preserve">plus restreint, </w:t>
      </w:r>
      <w:bookmarkEnd w:id="19"/>
      <w:r w:rsidRPr="00401057">
        <w:t>mais que, par l</w:t>
      </w:r>
      <w:r w:rsidR="00401057" w:rsidRPr="00401057">
        <w:t>’</w:t>
      </w:r>
      <w:r w:rsidRPr="00401057">
        <w:t>arrêt de 2018 de la Cour constitutionnelle, le texte initial de l</w:t>
      </w:r>
      <w:r w:rsidR="00401057" w:rsidRPr="00401057">
        <w:t>’</w:t>
      </w:r>
      <w:r w:rsidRPr="00401057">
        <w:t xml:space="preserve">article 4 de la loi Pinto était de nouveau applicable (paragraphe </w:t>
      </w:r>
      <w:r w:rsidRPr="00401057">
        <w:fldChar w:fldCharType="begin"/>
      </w:r>
      <w:r w:rsidRPr="00401057">
        <w:instrText xml:space="preserve"> REF loi_PINTO \h </w:instrText>
      </w:r>
      <w:r w:rsidR="008008B8" w:rsidRPr="00401057">
        <w:instrText xml:space="preserve"> \* MERGEFORMAT </w:instrText>
      </w:r>
      <w:r w:rsidRPr="00401057">
        <w:fldChar w:fldCharType="separate"/>
      </w:r>
      <w:r w:rsidR="00401057" w:rsidRPr="00401057">
        <w:rPr>
          <w:noProof/>
        </w:rPr>
        <w:t>6</w:t>
      </w:r>
      <w:r w:rsidRPr="00401057">
        <w:fldChar w:fldCharType="end"/>
      </w:r>
      <w:r w:rsidRPr="00401057">
        <w:t xml:space="preserve"> ci-dessus).</w:t>
      </w:r>
    </w:p>
    <w:bookmarkStart w:id="20" w:name="GVT_LESJAK"/>
    <w:p w14:paraId="00004675" w14:textId="4CB97CAF" w:rsidR="00AB3CE0" w:rsidRPr="00401057" w:rsidRDefault="00AB3CE0" w:rsidP="00401057">
      <w:pPr>
        <w:pStyle w:val="JuPara"/>
        <w:rPr>
          <w:snapToGrid w:val="0"/>
        </w:rPr>
      </w:pPr>
      <w:r w:rsidRPr="00401057">
        <w:fldChar w:fldCharType="begin"/>
      </w:r>
      <w:r w:rsidRPr="00401057">
        <w:instrText xml:space="preserve"> SEQ level0 \*arabic \* MERGEFORMAT </w:instrText>
      </w:r>
      <w:r w:rsidRPr="00401057">
        <w:fldChar w:fldCharType="separate"/>
      </w:r>
      <w:r w:rsidR="00401057" w:rsidRPr="00401057">
        <w:rPr>
          <w:noProof/>
        </w:rPr>
        <w:t>22</w:t>
      </w:r>
      <w:r w:rsidRPr="00401057">
        <w:fldChar w:fldCharType="end"/>
      </w:r>
      <w:bookmarkEnd w:id="20"/>
      <w:r w:rsidRPr="00401057">
        <w:t>.  Il fait ensuite valoir que les principes dégagés dans l</w:t>
      </w:r>
      <w:r w:rsidR="00401057" w:rsidRPr="00401057">
        <w:t>’</w:t>
      </w:r>
      <w:r w:rsidRPr="00401057">
        <w:t xml:space="preserve">arrêt </w:t>
      </w:r>
      <w:r w:rsidRPr="00401057">
        <w:rPr>
          <w:i/>
        </w:rPr>
        <w:t xml:space="preserve">Robert Lesjak </w:t>
      </w:r>
      <w:r w:rsidRPr="00401057">
        <w:t>(précité)</w:t>
      </w:r>
      <w:r w:rsidRPr="00401057">
        <w:rPr>
          <w:snapToGrid w:val="0"/>
        </w:rPr>
        <w:t xml:space="preserve"> ne seraient pas applicables</w:t>
      </w:r>
      <w:r w:rsidRPr="00401057">
        <w:t xml:space="preserve"> dans les cas d</w:t>
      </w:r>
      <w:r w:rsidR="00401057" w:rsidRPr="00401057">
        <w:t>’</w:t>
      </w:r>
      <w:r w:rsidRPr="00401057">
        <w:t>espèce, puisque, d</w:t>
      </w:r>
      <w:r w:rsidR="00401057" w:rsidRPr="00401057">
        <w:t>’</w:t>
      </w:r>
      <w:r w:rsidRPr="00401057">
        <w:t xml:space="preserve">après sa lecture, cet arrêt porterait </w:t>
      </w:r>
      <w:r w:rsidRPr="00401057">
        <w:rPr>
          <w:snapToGrid w:val="0"/>
        </w:rPr>
        <w:t>sur le seul recours tendant à accélérer la procédure.</w:t>
      </w:r>
      <w:bookmarkStart w:id="21" w:name="_Hlk36127691"/>
    </w:p>
    <w:bookmarkStart w:id="22" w:name="COUR_limite"/>
    <w:p w14:paraId="259BA14A" w14:textId="600D9733" w:rsidR="00AB3CE0" w:rsidRPr="00401057" w:rsidRDefault="00AB3CE0" w:rsidP="00401057">
      <w:pPr>
        <w:pStyle w:val="JuPara"/>
      </w:pPr>
      <w:r w:rsidRPr="00401057">
        <w:fldChar w:fldCharType="begin"/>
      </w:r>
      <w:r w:rsidRPr="00401057">
        <w:instrText xml:space="preserve"> SEQ level0 \*arabic \* MERGEFORMAT </w:instrText>
      </w:r>
      <w:r w:rsidRPr="00401057">
        <w:fldChar w:fldCharType="separate"/>
      </w:r>
      <w:r w:rsidR="00401057" w:rsidRPr="00401057">
        <w:rPr>
          <w:noProof/>
        </w:rPr>
        <w:t>23</w:t>
      </w:r>
      <w:r w:rsidRPr="00401057">
        <w:fldChar w:fldCharType="end"/>
      </w:r>
      <w:bookmarkEnd w:id="22"/>
      <w:r w:rsidRPr="00401057">
        <w:t>.  La Cour observe d</w:t>
      </w:r>
      <w:r w:rsidR="00401057" w:rsidRPr="00401057">
        <w:t>’</w:t>
      </w:r>
      <w:r w:rsidRPr="00401057">
        <w:t>emblée que l</w:t>
      </w:r>
      <w:r w:rsidR="00401057" w:rsidRPr="00401057">
        <w:t>’</w:t>
      </w:r>
      <w:r w:rsidRPr="00401057">
        <w:t xml:space="preserve">article 4 de la loi Pinto résultant de la réforme de 2012 est la disposition applicable </w:t>
      </w:r>
      <w:r w:rsidRPr="00401057">
        <w:rPr>
          <w:i/>
          <w:iCs/>
        </w:rPr>
        <w:t>ratione temporis</w:t>
      </w:r>
      <w:r w:rsidRPr="00401057">
        <w:t xml:space="preserve"> aux présentes affaires. La disposition litigieuse subordonnait la possibilité d</w:t>
      </w:r>
      <w:r w:rsidR="00401057" w:rsidRPr="00401057">
        <w:t>’</w:t>
      </w:r>
      <w:r w:rsidRPr="00401057">
        <w:t>introduire un recours indemnitaire pour tout préjudice causé par la durée excessive d</w:t>
      </w:r>
      <w:r w:rsidR="00401057" w:rsidRPr="00401057">
        <w:t>’</w:t>
      </w:r>
      <w:r w:rsidRPr="00401057">
        <w:t xml:space="preserve">une procédure au moment où la décision finale devenait définitive. </w:t>
      </w:r>
      <w:r w:rsidRPr="00401057">
        <w:rPr>
          <w:rFonts w:ascii="Times New Roman" w:hAnsi="Times New Roman" w:cs="Times New Roman"/>
          <w:lang w:eastAsia="fr-FR"/>
        </w:rPr>
        <w:t>En réponse à l</w:t>
      </w:r>
      <w:r w:rsidR="00401057" w:rsidRPr="00401057">
        <w:rPr>
          <w:rFonts w:ascii="Times New Roman" w:hAnsi="Times New Roman" w:cs="Times New Roman"/>
          <w:lang w:eastAsia="fr-FR"/>
        </w:rPr>
        <w:t>’</w:t>
      </w:r>
      <w:r w:rsidRPr="00401057">
        <w:rPr>
          <w:rFonts w:ascii="Times New Roman" w:hAnsi="Times New Roman" w:cs="Times New Roman"/>
          <w:lang w:eastAsia="fr-FR"/>
        </w:rPr>
        <w:t xml:space="preserve">observation du Gouvernement relative aux effets de </w:t>
      </w:r>
      <w:r w:rsidRPr="00401057">
        <w:rPr>
          <w:rFonts w:ascii="Times New Roman" w:hAnsi="Times New Roman" w:cs="Times New Roman"/>
          <w:lang w:eastAsia="fr-FR"/>
        </w:rPr>
        <w:lastRenderedPageBreak/>
        <w:t>l</w:t>
      </w:r>
      <w:r w:rsidR="00401057" w:rsidRPr="00401057">
        <w:rPr>
          <w:rFonts w:ascii="Times New Roman" w:hAnsi="Times New Roman" w:cs="Times New Roman"/>
          <w:lang w:eastAsia="fr-FR"/>
        </w:rPr>
        <w:t>’</w:t>
      </w:r>
      <w:r w:rsidRPr="00401057">
        <w:rPr>
          <w:rFonts w:ascii="Times New Roman" w:hAnsi="Times New Roman" w:cs="Times New Roman"/>
          <w:lang w:eastAsia="fr-FR"/>
        </w:rPr>
        <w:t>arrêt de la Cour constitutionnelle de 2018 (paragraphe 21 ci-dessus), la Cour relève que les présentes affaires ont été introduites entre 2013 et 2015, bien avant la décision précitée. Dès lors, dans les présentes affaires la Cour n</w:t>
      </w:r>
      <w:r w:rsidR="00401057" w:rsidRPr="00401057">
        <w:rPr>
          <w:rFonts w:ascii="Times New Roman" w:hAnsi="Times New Roman" w:cs="Times New Roman"/>
          <w:lang w:eastAsia="fr-FR"/>
        </w:rPr>
        <w:t>’</w:t>
      </w:r>
      <w:r w:rsidRPr="00401057">
        <w:rPr>
          <w:rFonts w:ascii="Times New Roman" w:hAnsi="Times New Roman" w:cs="Times New Roman"/>
          <w:lang w:eastAsia="fr-FR"/>
        </w:rPr>
        <w:t>examinera pas l</w:t>
      </w:r>
      <w:r w:rsidR="00401057" w:rsidRPr="00401057">
        <w:rPr>
          <w:rFonts w:ascii="Times New Roman" w:hAnsi="Times New Roman" w:cs="Times New Roman"/>
          <w:lang w:eastAsia="fr-FR"/>
        </w:rPr>
        <w:t>’</w:t>
      </w:r>
      <w:r w:rsidRPr="00401057">
        <w:rPr>
          <w:rFonts w:ascii="Times New Roman" w:hAnsi="Times New Roman" w:cs="Times New Roman"/>
          <w:lang w:eastAsia="fr-FR"/>
        </w:rPr>
        <w:t>effectivité de l</w:t>
      </w:r>
      <w:r w:rsidR="00401057" w:rsidRPr="00401057">
        <w:rPr>
          <w:rFonts w:ascii="Times New Roman" w:hAnsi="Times New Roman" w:cs="Times New Roman"/>
          <w:lang w:eastAsia="fr-FR"/>
        </w:rPr>
        <w:t>’</w:t>
      </w:r>
      <w:r w:rsidRPr="00401057">
        <w:rPr>
          <w:rFonts w:ascii="Times New Roman" w:hAnsi="Times New Roman" w:cs="Times New Roman"/>
          <w:lang w:eastAsia="fr-FR"/>
        </w:rPr>
        <w:t>article 4 résultant de l</w:t>
      </w:r>
      <w:r w:rsidR="00401057" w:rsidRPr="00401057">
        <w:rPr>
          <w:rFonts w:ascii="Times New Roman" w:hAnsi="Times New Roman" w:cs="Times New Roman"/>
          <w:lang w:eastAsia="fr-FR"/>
        </w:rPr>
        <w:t>’</w:t>
      </w:r>
      <w:r w:rsidRPr="00401057">
        <w:rPr>
          <w:rFonts w:ascii="Times New Roman" w:hAnsi="Times New Roman" w:cs="Times New Roman"/>
          <w:lang w:eastAsia="fr-FR"/>
        </w:rPr>
        <w:t>arrêt de la Cour constitutionnelle de 2018.</w:t>
      </w:r>
    </w:p>
    <w:p w14:paraId="5E8762DB" w14:textId="176CDF51" w:rsidR="00AB3CE0" w:rsidRPr="00401057" w:rsidRDefault="00EC30E9" w:rsidP="00401057">
      <w:pPr>
        <w:pStyle w:val="JuPara"/>
      </w:pPr>
      <w:r>
        <w:fldChar w:fldCharType="begin"/>
      </w:r>
      <w:r>
        <w:instrText xml:space="preserve"> SEQ level0 \*arabic \* MERGEFORMAT </w:instrText>
      </w:r>
      <w:r>
        <w:fldChar w:fldCharType="separate"/>
      </w:r>
      <w:r w:rsidR="00401057" w:rsidRPr="00401057">
        <w:rPr>
          <w:noProof/>
        </w:rPr>
        <w:t>24</w:t>
      </w:r>
      <w:r>
        <w:rPr>
          <w:noProof/>
        </w:rPr>
        <w:fldChar w:fldCharType="end"/>
      </w:r>
      <w:r w:rsidR="00AB3CE0" w:rsidRPr="00401057">
        <w:t>.  La Cour rappelle avoir affirmé que l</w:t>
      </w:r>
      <w:r w:rsidR="00401057" w:rsidRPr="00401057">
        <w:t>’</w:t>
      </w:r>
      <w:r w:rsidR="00AB3CE0" w:rsidRPr="00401057">
        <w:t>« effectivité » d</w:t>
      </w:r>
      <w:r w:rsidR="00401057" w:rsidRPr="00401057">
        <w:t>’</w:t>
      </w:r>
      <w:r w:rsidR="00AB3CE0" w:rsidRPr="00401057">
        <w:t>un « recours » au sens de l</w:t>
      </w:r>
      <w:r w:rsidR="00401057" w:rsidRPr="00401057">
        <w:t>’</w:t>
      </w:r>
      <w:r w:rsidR="00AB3CE0" w:rsidRPr="00401057">
        <w:t>article 13 de la Convention ne dépend pas de la certitude d</w:t>
      </w:r>
      <w:r w:rsidR="00401057" w:rsidRPr="00401057">
        <w:t>’</w:t>
      </w:r>
      <w:r w:rsidR="00AB3CE0" w:rsidRPr="00401057">
        <w:t>une issue favorable pour le requérant (</w:t>
      </w:r>
      <w:r w:rsidR="00AB3CE0" w:rsidRPr="00401057">
        <w:rPr>
          <w:i/>
          <w:iCs/>
        </w:rPr>
        <w:t>Kud</w:t>
      </w:r>
      <w:r w:rsidR="00AB3CE0" w:rsidRPr="00401057">
        <w:rPr>
          <w:i/>
        </w:rPr>
        <w:t>ł</w:t>
      </w:r>
      <w:r w:rsidR="00AB3CE0" w:rsidRPr="00401057">
        <w:rPr>
          <w:i/>
          <w:iCs/>
        </w:rPr>
        <w:t>a</w:t>
      </w:r>
      <w:r w:rsidR="00AB3CE0" w:rsidRPr="00401057">
        <w:t>, précité, § 157) et que le simple fait de nourrir des doutes quant aux perspectives de succès d</w:t>
      </w:r>
      <w:r w:rsidR="00401057" w:rsidRPr="00401057">
        <w:t>’</w:t>
      </w:r>
      <w:r w:rsidR="00AB3CE0" w:rsidRPr="00401057">
        <w:t>un recours donné qui n</w:t>
      </w:r>
      <w:r w:rsidR="00401057" w:rsidRPr="00401057">
        <w:t>’</w:t>
      </w:r>
      <w:r w:rsidR="00AB3CE0" w:rsidRPr="00401057">
        <w:t>est pas de toute évidence voué à l</w:t>
      </w:r>
      <w:r w:rsidR="00401057" w:rsidRPr="00401057">
        <w:t>’</w:t>
      </w:r>
      <w:r w:rsidR="00AB3CE0" w:rsidRPr="00401057">
        <w:t>échec ne constitue pas une raison valable pour justifier la non-utilisation de recours internes (</w:t>
      </w:r>
      <w:r w:rsidR="00AB3CE0" w:rsidRPr="00401057">
        <w:rPr>
          <w:i/>
        </w:rPr>
        <w:t>Akdivar et autres</w:t>
      </w:r>
      <w:r w:rsidR="004E438D" w:rsidRPr="00401057">
        <w:rPr>
          <w:i/>
        </w:rPr>
        <w:t> </w:t>
      </w:r>
      <w:r w:rsidR="00AB3CE0" w:rsidRPr="00401057">
        <w:rPr>
          <w:i/>
        </w:rPr>
        <w:t>c. Turquie</w:t>
      </w:r>
      <w:r w:rsidR="00AB3CE0" w:rsidRPr="00401057">
        <w:t xml:space="preserve">, 16 septembre 1996, § 71, </w:t>
      </w:r>
      <w:r w:rsidR="00AB3CE0" w:rsidRPr="00401057">
        <w:rPr>
          <w:i/>
        </w:rPr>
        <w:t>Recueil des arrêts et décisions</w:t>
      </w:r>
      <w:r w:rsidR="004E438D" w:rsidRPr="00401057">
        <w:rPr>
          <w:i/>
        </w:rPr>
        <w:t> </w:t>
      </w:r>
      <w:r w:rsidR="00AB3CE0" w:rsidRPr="00401057">
        <w:t>1996</w:t>
      </w:r>
      <w:r w:rsidR="00AB3CE0" w:rsidRPr="00401057">
        <w:noBreakHyphen/>
        <w:t>IV).</w:t>
      </w:r>
    </w:p>
    <w:p w14:paraId="0AE8646C" w14:textId="07FCE6EE" w:rsidR="00AB3CE0" w:rsidRPr="00401057" w:rsidRDefault="00EC30E9" w:rsidP="00401057">
      <w:pPr>
        <w:pStyle w:val="JuPara"/>
      </w:pPr>
      <w:r>
        <w:fldChar w:fldCharType="begin"/>
      </w:r>
      <w:r>
        <w:instrText xml:space="preserve"> SEQ level0 \*arabic \* MERGEFORMAT </w:instrText>
      </w:r>
      <w:r>
        <w:fldChar w:fldCharType="separate"/>
      </w:r>
      <w:r w:rsidR="00401057" w:rsidRPr="00401057">
        <w:rPr>
          <w:noProof/>
        </w:rPr>
        <w:t>25</w:t>
      </w:r>
      <w:r>
        <w:rPr>
          <w:noProof/>
        </w:rPr>
        <w:fldChar w:fldCharType="end"/>
      </w:r>
      <w:r w:rsidR="00AB3CE0" w:rsidRPr="00401057">
        <w:t>.  Toutefois, la Cour considère qu</w:t>
      </w:r>
      <w:r w:rsidR="00401057" w:rsidRPr="00401057">
        <w:t>’</w:t>
      </w:r>
      <w:r w:rsidR="00AB3CE0" w:rsidRPr="00401057">
        <w:t>en l</w:t>
      </w:r>
      <w:r w:rsidR="00401057" w:rsidRPr="00401057">
        <w:t>’</w:t>
      </w:r>
      <w:r w:rsidR="00AB3CE0" w:rsidRPr="00401057">
        <w:t>espèce la disposition contestée ne laissait aucun doute quant à l</w:t>
      </w:r>
      <w:r w:rsidR="00401057" w:rsidRPr="00401057">
        <w:t>’</w:t>
      </w:r>
      <w:r w:rsidR="00AB3CE0" w:rsidRPr="00401057">
        <w:t>absence de perspectives de succès du recours et à l</w:t>
      </w:r>
      <w:r w:rsidR="00401057" w:rsidRPr="00401057">
        <w:t>’</w:t>
      </w:r>
      <w:r w:rsidR="00AB3CE0" w:rsidRPr="00401057">
        <w:t>issue défavorable d</w:t>
      </w:r>
      <w:r w:rsidR="00401057" w:rsidRPr="00401057">
        <w:t>’</w:t>
      </w:r>
      <w:r w:rsidR="00AB3CE0" w:rsidRPr="00401057">
        <w:t>une éventuelle demande de réparation introduite avant la conclusion de la procédure principale. Elle rappelle que la Convention doit être interprétée et appliquée de manière à garantir des droits concrets et effectifs.</w:t>
      </w:r>
    </w:p>
    <w:p w14:paraId="10613630" w14:textId="4202C46D" w:rsidR="00AB3CE0" w:rsidRPr="00401057" w:rsidRDefault="00EC30E9" w:rsidP="00401057">
      <w:pPr>
        <w:pStyle w:val="JuPara"/>
      </w:pPr>
      <w:r>
        <w:fldChar w:fldCharType="begin"/>
      </w:r>
      <w:r>
        <w:instrText xml:space="preserve"> SEQ level0 \*arabic \* MERGEFORMAT </w:instrText>
      </w:r>
      <w:r>
        <w:fldChar w:fldCharType="separate"/>
      </w:r>
      <w:r w:rsidR="00401057" w:rsidRPr="00401057">
        <w:rPr>
          <w:noProof/>
        </w:rPr>
        <w:t>26</w:t>
      </w:r>
      <w:r>
        <w:rPr>
          <w:noProof/>
        </w:rPr>
        <w:fldChar w:fldCharType="end"/>
      </w:r>
      <w:r w:rsidR="00AB3CE0" w:rsidRPr="00401057">
        <w:t>.  Elle précise également que la violation du droit à un procès dans un délai raisonnable implique une situation continue et que le prolongement de la procédure litigieuse est susceptible de causer, dans le chef du requérant, des désagréments considérables et une incertitude prolongée. Dès lors, lorsqu</w:t>
      </w:r>
      <w:r w:rsidR="00401057" w:rsidRPr="00401057">
        <w:t>’</w:t>
      </w:r>
      <w:r w:rsidR="00AB3CE0" w:rsidRPr="00401057">
        <w:t xml:space="preserve">il estime que la durée de la procédure a été excessive, un requérant doit avoir la possibilité de demander réparation devant les juridictions internes à tout moment de la procédure principale (voir, </w:t>
      </w:r>
      <w:r w:rsidR="00AB3CE0" w:rsidRPr="00401057">
        <w:rPr>
          <w:i/>
          <w:iCs/>
        </w:rPr>
        <w:t>mutatis mutandis</w:t>
      </w:r>
      <w:r w:rsidR="00AB3CE0" w:rsidRPr="00401057">
        <w:t xml:space="preserve">, </w:t>
      </w:r>
      <w:r w:rsidR="00AB3CE0" w:rsidRPr="00401057">
        <w:rPr>
          <w:i/>
        </w:rPr>
        <w:t>Di</w:t>
      </w:r>
      <w:r w:rsidR="004E438D" w:rsidRPr="00401057">
        <w:rPr>
          <w:i/>
        </w:rPr>
        <w:t> </w:t>
      </w:r>
      <w:r w:rsidR="00AB3CE0" w:rsidRPr="00401057">
        <w:rPr>
          <w:i/>
        </w:rPr>
        <w:t>Sante c. Italie</w:t>
      </w:r>
      <w:r w:rsidR="00AB3CE0" w:rsidRPr="00401057">
        <w:t>, n</w:t>
      </w:r>
      <w:r w:rsidR="00AB3CE0" w:rsidRPr="00401057">
        <w:rPr>
          <w:vertAlign w:val="superscript"/>
        </w:rPr>
        <w:t>o</w:t>
      </w:r>
      <w:r w:rsidR="00AB3CE0" w:rsidRPr="00401057">
        <w:t> 32143/10, § 16, 27 avril 2017).</w:t>
      </w:r>
    </w:p>
    <w:p w14:paraId="7C6896B1" w14:textId="4A0A190B" w:rsidR="00AB3CE0" w:rsidRPr="00401057" w:rsidRDefault="00EC30E9" w:rsidP="00401057">
      <w:pPr>
        <w:pStyle w:val="JuPara"/>
      </w:pPr>
      <w:r>
        <w:fldChar w:fldCharType="begin"/>
      </w:r>
      <w:r>
        <w:instrText xml:space="preserve"> SEQ level0 \*arabic \* MERGEFORMAT </w:instrText>
      </w:r>
      <w:r>
        <w:fldChar w:fldCharType="separate"/>
      </w:r>
      <w:r w:rsidR="00401057" w:rsidRPr="00401057">
        <w:rPr>
          <w:noProof/>
        </w:rPr>
        <w:t>27</w:t>
      </w:r>
      <w:r>
        <w:rPr>
          <w:noProof/>
        </w:rPr>
        <w:fldChar w:fldCharType="end"/>
      </w:r>
      <w:r w:rsidR="00AB3CE0" w:rsidRPr="00401057">
        <w:t>.  Par ailleurs, la Cour note que, peu de temps après la réforme de 2012 de la loi Pinto, la question de l</w:t>
      </w:r>
      <w:r w:rsidR="00401057" w:rsidRPr="00401057">
        <w:t>’</w:t>
      </w:r>
      <w:r w:rsidR="00AB3CE0" w:rsidRPr="00401057">
        <w:t>effectivité du recours indemnitaire a été soulevée, d</w:t>
      </w:r>
      <w:r w:rsidR="00401057" w:rsidRPr="00401057">
        <w:t>’</w:t>
      </w:r>
      <w:r w:rsidR="00AB3CE0" w:rsidRPr="00401057">
        <w:t>abord la même année par le Comité des Ministres du Conseil de l</w:t>
      </w:r>
      <w:r w:rsidR="00401057" w:rsidRPr="00401057">
        <w:t>’</w:t>
      </w:r>
      <w:r w:rsidR="00AB3CE0" w:rsidRPr="00401057">
        <w:t xml:space="preserve">Europe (paragraphe </w:t>
      </w:r>
      <w:r w:rsidR="00AB3CE0" w:rsidRPr="00401057">
        <w:fldChar w:fldCharType="begin"/>
      </w:r>
      <w:r w:rsidR="00AB3CE0" w:rsidRPr="00401057">
        <w:instrText xml:space="preserve"> REF CM_2012 \h </w:instrText>
      </w:r>
      <w:r w:rsidR="008008B8" w:rsidRPr="00401057">
        <w:instrText xml:space="preserve"> \* MERGEFORMAT </w:instrText>
      </w:r>
      <w:r w:rsidR="00AB3CE0" w:rsidRPr="00401057">
        <w:fldChar w:fldCharType="separate"/>
      </w:r>
      <w:r w:rsidR="00401057" w:rsidRPr="00401057">
        <w:rPr>
          <w:noProof/>
        </w:rPr>
        <w:t>9</w:t>
      </w:r>
      <w:r w:rsidR="00AB3CE0" w:rsidRPr="00401057">
        <w:fldChar w:fldCharType="end"/>
      </w:r>
      <w:r w:rsidR="00AB3CE0" w:rsidRPr="00401057">
        <w:t xml:space="preserve"> ci-dessus), puis en 2014 par la Cour constitutionnelle qui a invité le législateur à modifier l</w:t>
      </w:r>
      <w:r w:rsidR="00401057" w:rsidRPr="00401057">
        <w:t>’</w:t>
      </w:r>
      <w:r w:rsidR="00AB3CE0" w:rsidRPr="00401057">
        <w:t>article 4 de la loi Pinto (paragraphe</w:t>
      </w:r>
      <w:r w:rsidR="004E438D" w:rsidRPr="00401057">
        <w:t> </w:t>
      </w:r>
      <w:r w:rsidR="00AB3CE0" w:rsidRPr="00401057">
        <w:fldChar w:fldCharType="begin"/>
      </w:r>
      <w:r w:rsidR="00AB3CE0" w:rsidRPr="00401057">
        <w:instrText xml:space="preserve"> REF CCOST_2014 \h </w:instrText>
      </w:r>
      <w:r w:rsidR="008008B8" w:rsidRPr="00401057">
        <w:instrText xml:space="preserve"> \* MERGEFORMAT </w:instrText>
      </w:r>
      <w:r w:rsidR="00AB3CE0" w:rsidRPr="00401057">
        <w:fldChar w:fldCharType="separate"/>
      </w:r>
      <w:r w:rsidR="00401057" w:rsidRPr="00401057">
        <w:rPr>
          <w:noProof/>
        </w:rPr>
        <w:t>7</w:t>
      </w:r>
      <w:r w:rsidR="00AB3CE0" w:rsidRPr="00401057">
        <w:fldChar w:fldCharType="end"/>
      </w:r>
      <w:r w:rsidR="004E438D" w:rsidRPr="00401057">
        <w:t> </w:t>
      </w:r>
      <w:r w:rsidR="00AB3CE0" w:rsidRPr="00401057">
        <w:t>ci</w:t>
      </w:r>
      <w:r w:rsidR="004E438D" w:rsidRPr="00401057">
        <w:noBreakHyphen/>
      </w:r>
      <w:r w:rsidR="00AB3CE0" w:rsidRPr="00401057">
        <w:t>dessus). En 2018, après avoir constaté l</w:t>
      </w:r>
      <w:r w:rsidR="00401057" w:rsidRPr="00401057">
        <w:t>’</w:t>
      </w:r>
      <w:r w:rsidR="00AB3CE0" w:rsidRPr="00401057">
        <w:t>inertie du Parlement, celle-ci a déclaré inconstitutionnel l</w:t>
      </w:r>
      <w:r w:rsidR="00401057" w:rsidRPr="00401057">
        <w:t>’</w:t>
      </w:r>
      <w:r w:rsidR="00AB3CE0" w:rsidRPr="00401057">
        <w:t>article 4 de la loi précitée.</w:t>
      </w:r>
    </w:p>
    <w:p w14:paraId="5369FA89" w14:textId="2D92E301" w:rsidR="00AB3CE0" w:rsidRPr="00401057" w:rsidRDefault="00EC30E9" w:rsidP="00401057">
      <w:pPr>
        <w:pStyle w:val="JuPara"/>
      </w:pPr>
      <w:r>
        <w:fldChar w:fldCharType="begin"/>
      </w:r>
      <w:r>
        <w:instrText xml:space="preserve"> SEQ level0 \*arabic \* MERGEFORMAT </w:instrText>
      </w:r>
      <w:r>
        <w:fldChar w:fldCharType="separate"/>
      </w:r>
      <w:r w:rsidR="00401057" w:rsidRPr="00401057">
        <w:rPr>
          <w:noProof/>
        </w:rPr>
        <w:t>28</w:t>
      </w:r>
      <w:r>
        <w:rPr>
          <w:noProof/>
        </w:rPr>
        <w:fldChar w:fldCharType="end"/>
      </w:r>
      <w:r w:rsidR="00AB3CE0" w:rsidRPr="00401057">
        <w:t>.  Quant à la lecture faite par le Gouvernement de l</w:t>
      </w:r>
      <w:r w:rsidR="00401057" w:rsidRPr="00401057">
        <w:t>’</w:t>
      </w:r>
      <w:r w:rsidR="00AB3CE0" w:rsidRPr="00401057">
        <w:t xml:space="preserve">arrêt </w:t>
      </w:r>
      <w:r w:rsidR="00AB3CE0" w:rsidRPr="00401057">
        <w:rPr>
          <w:i/>
          <w:iCs/>
        </w:rPr>
        <w:t>Robert Lesjak</w:t>
      </w:r>
      <w:r w:rsidR="00AB3CE0" w:rsidRPr="00401057">
        <w:t xml:space="preserve"> (paragraphe </w:t>
      </w:r>
      <w:r w:rsidR="00AB3CE0" w:rsidRPr="00401057">
        <w:fldChar w:fldCharType="begin"/>
      </w:r>
      <w:r w:rsidR="00AB3CE0" w:rsidRPr="00401057">
        <w:instrText xml:space="preserve"> REF GVT_LESJAK \h </w:instrText>
      </w:r>
      <w:r w:rsidR="008008B8" w:rsidRPr="00401057">
        <w:instrText xml:space="preserve"> \* MERGEFORMAT </w:instrText>
      </w:r>
      <w:r w:rsidR="00AB3CE0" w:rsidRPr="00401057">
        <w:fldChar w:fldCharType="separate"/>
      </w:r>
      <w:r w:rsidR="00401057" w:rsidRPr="00401057">
        <w:rPr>
          <w:noProof/>
        </w:rPr>
        <w:t>22</w:t>
      </w:r>
      <w:r w:rsidR="00AB3CE0" w:rsidRPr="00401057">
        <w:fldChar w:fldCharType="end"/>
      </w:r>
      <w:r w:rsidR="00AB3CE0" w:rsidRPr="00401057">
        <w:t xml:space="preserve"> ci-dessus), la Cour considère qu</w:t>
      </w:r>
      <w:r w:rsidR="00401057" w:rsidRPr="00401057">
        <w:t>’</w:t>
      </w:r>
      <w:r w:rsidR="00AB3CE0" w:rsidRPr="00401057">
        <w:t>elle ne tient pas compte de la partie de celui-ci dédiée au recours compensatoire (</w:t>
      </w:r>
      <w:r w:rsidR="00AB3CE0" w:rsidRPr="00401057">
        <w:rPr>
          <w:i/>
          <w:iCs/>
        </w:rPr>
        <w:t>ibidem</w:t>
      </w:r>
      <w:r w:rsidR="00AB3CE0" w:rsidRPr="00401057">
        <w:t>, §§ 47-53). Dans cet arrêt, elle a rappelé que la question d</w:t>
      </w:r>
      <w:r w:rsidR="00401057" w:rsidRPr="00401057">
        <w:t>’</w:t>
      </w:r>
      <w:r w:rsidR="00AB3CE0" w:rsidRPr="00401057">
        <w:t>un accès raisonnablement rapide au recours indemnitaire pourrait avoir une incidence sur l</w:t>
      </w:r>
      <w:r w:rsidR="00401057" w:rsidRPr="00401057">
        <w:t>’</w:t>
      </w:r>
      <w:r w:rsidR="00AB3CE0" w:rsidRPr="00401057">
        <w:t>efficacité de ce recours. Elle a aussi estimé indispensable qu</w:t>
      </w:r>
      <w:r w:rsidR="00401057" w:rsidRPr="00401057">
        <w:t>’</w:t>
      </w:r>
      <w:r w:rsidR="00AB3CE0" w:rsidRPr="00401057">
        <w:t>une procédure, qui a déjà été longue, soit résolue rapidement après l</w:t>
      </w:r>
      <w:r w:rsidR="00401057" w:rsidRPr="00401057">
        <w:t>’</w:t>
      </w:r>
      <w:r w:rsidR="00AB3CE0" w:rsidRPr="00401057">
        <w:t>épuisement des voies de recours accélérées. D</w:t>
      </w:r>
      <w:r w:rsidR="00401057" w:rsidRPr="00401057">
        <w:t>’</w:t>
      </w:r>
      <w:r w:rsidR="00AB3CE0" w:rsidRPr="00401057">
        <w:t>ailleurs, la Cour note que, dans son arrêt de 2014, la Cour constitutionnelle s</w:t>
      </w:r>
      <w:r w:rsidR="00401057" w:rsidRPr="00401057">
        <w:t>’</w:t>
      </w:r>
      <w:r w:rsidR="00AB3CE0" w:rsidRPr="00401057">
        <w:t>est fondée sur les mêmes passages de l</w:t>
      </w:r>
      <w:r w:rsidR="00401057" w:rsidRPr="00401057">
        <w:t>’</w:t>
      </w:r>
      <w:r w:rsidR="00AB3CE0" w:rsidRPr="00401057">
        <w:t xml:space="preserve">arrêt </w:t>
      </w:r>
      <w:r w:rsidR="00AB3CE0" w:rsidRPr="00401057">
        <w:rPr>
          <w:i/>
          <w:iCs/>
        </w:rPr>
        <w:t>Robert Lesjak</w:t>
      </w:r>
      <w:r w:rsidR="00AB3CE0" w:rsidRPr="00401057">
        <w:t xml:space="preserve"> </w:t>
      </w:r>
      <w:r w:rsidR="00AB3CE0" w:rsidRPr="00401057">
        <w:lastRenderedPageBreak/>
        <w:t>pour conclure que le recours indemnitaire ne disposait pas d</w:t>
      </w:r>
      <w:r w:rsidR="00401057" w:rsidRPr="00401057">
        <w:t>’</w:t>
      </w:r>
      <w:r w:rsidR="00AB3CE0" w:rsidRPr="00401057">
        <w:t xml:space="preserve">un caractère effectif (paragraphe </w:t>
      </w:r>
      <w:r w:rsidR="00AB3CE0" w:rsidRPr="00401057">
        <w:fldChar w:fldCharType="begin"/>
      </w:r>
      <w:r w:rsidR="00AB3CE0" w:rsidRPr="00401057">
        <w:instrText xml:space="preserve"> REF CCOST_2014 \h </w:instrText>
      </w:r>
      <w:r w:rsidR="008008B8" w:rsidRPr="00401057">
        <w:instrText xml:space="preserve"> \* MERGEFORMAT </w:instrText>
      </w:r>
      <w:r w:rsidR="00AB3CE0" w:rsidRPr="00401057">
        <w:fldChar w:fldCharType="separate"/>
      </w:r>
      <w:r w:rsidR="00401057" w:rsidRPr="00401057">
        <w:rPr>
          <w:noProof/>
        </w:rPr>
        <w:t>7</w:t>
      </w:r>
      <w:r w:rsidR="00AB3CE0" w:rsidRPr="00401057">
        <w:fldChar w:fldCharType="end"/>
      </w:r>
      <w:r w:rsidR="00AB3CE0" w:rsidRPr="00401057">
        <w:t xml:space="preserve"> ci-dessus).</w:t>
      </w:r>
    </w:p>
    <w:p w14:paraId="23BD4BE3" w14:textId="7E02964E" w:rsidR="00AB3CE0" w:rsidRPr="00401057" w:rsidRDefault="00EC30E9" w:rsidP="00401057">
      <w:pPr>
        <w:pStyle w:val="JuPara"/>
        <w:rPr>
          <w:rFonts w:ascii="Times New Roman" w:eastAsiaTheme="minorEastAsia" w:hAnsi="Times New Roman" w:cs="Times New Roman"/>
          <w:szCs w:val="22"/>
        </w:rPr>
      </w:pPr>
      <w:r>
        <w:fldChar w:fldCharType="begin"/>
      </w:r>
      <w:r>
        <w:instrText xml:space="preserve"> SEQ level0 \*arabic \* MERGEFORMAT </w:instrText>
      </w:r>
      <w:r>
        <w:fldChar w:fldCharType="separate"/>
      </w:r>
      <w:r w:rsidR="00401057" w:rsidRPr="00401057">
        <w:rPr>
          <w:noProof/>
        </w:rPr>
        <w:t>29</w:t>
      </w:r>
      <w:r>
        <w:rPr>
          <w:noProof/>
        </w:rPr>
        <w:fldChar w:fldCharType="end"/>
      </w:r>
      <w:r w:rsidR="00AB3CE0" w:rsidRPr="00401057">
        <w:t>.  À titre surabondant, la Cour observe que les recours de nature préventive tendant à accélérer la procédure ont été introduits par la loi Pinto seulement en 2015, donc trois ans après la réforme de 2012 (paragraphe</w:t>
      </w:r>
      <w:r w:rsidR="004E438D" w:rsidRPr="00401057">
        <w:t> </w:t>
      </w:r>
      <w:r w:rsidR="00AB3CE0" w:rsidRPr="00401057">
        <w:fldChar w:fldCharType="begin"/>
      </w:r>
      <w:r w:rsidR="00AB3CE0" w:rsidRPr="00401057">
        <w:instrText xml:space="preserve"> REF loi_PINTO \h </w:instrText>
      </w:r>
      <w:r w:rsidR="008008B8" w:rsidRPr="00401057">
        <w:instrText xml:space="preserve"> \* MERGEFORMAT </w:instrText>
      </w:r>
      <w:r w:rsidR="00AB3CE0" w:rsidRPr="00401057">
        <w:fldChar w:fldCharType="separate"/>
      </w:r>
      <w:r w:rsidR="00401057" w:rsidRPr="00401057">
        <w:rPr>
          <w:noProof/>
        </w:rPr>
        <w:t>6</w:t>
      </w:r>
      <w:r w:rsidR="00AB3CE0" w:rsidRPr="00401057">
        <w:fldChar w:fldCharType="end"/>
      </w:r>
      <w:r w:rsidR="004E438D" w:rsidRPr="00401057">
        <w:t> </w:t>
      </w:r>
      <w:r w:rsidR="00AB3CE0" w:rsidRPr="00401057">
        <w:t>ci</w:t>
      </w:r>
      <w:r w:rsidR="004E438D" w:rsidRPr="00401057">
        <w:noBreakHyphen/>
      </w:r>
      <w:r w:rsidR="00AB3CE0" w:rsidRPr="00401057">
        <w:t>dessus). À propos de ce type de recours, la Cour rappelle qu</w:t>
      </w:r>
      <w:r w:rsidR="00401057" w:rsidRPr="00401057">
        <w:t>’</w:t>
      </w:r>
      <w:r w:rsidR="00AB3CE0" w:rsidRPr="00401057">
        <w:t>elle s</w:t>
      </w:r>
      <w:r w:rsidR="00401057" w:rsidRPr="00401057">
        <w:t>’</w:t>
      </w:r>
      <w:r w:rsidR="00AB3CE0" w:rsidRPr="00401057">
        <w:t>est trouvée à maintes reprises à juger de l</w:t>
      </w:r>
      <w:r w:rsidR="00401057" w:rsidRPr="00401057">
        <w:t>’</w:t>
      </w:r>
      <w:r w:rsidR="00AB3CE0" w:rsidRPr="00401057">
        <w:t>effectivité d</w:t>
      </w:r>
      <w:r w:rsidR="00401057" w:rsidRPr="00401057">
        <w:t>’</w:t>
      </w:r>
      <w:r w:rsidR="00AB3CE0" w:rsidRPr="00401057">
        <w:t>un remède en accélération (</w:t>
      </w:r>
      <w:r w:rsidR="00AB3CE0" w:rsidRPr="00401057">
        <w:rPr>
          <w:i/>
          <w:iCs/>
        </w:rPr>
        <w:t>Olivieri et autres</w:t>
      </w:r>
      <w:r w:rsidR="00AB3CE0" w:rsidRPr="00401057">
        <w:t xml:space="preserve">, précité, §§ 53 et 60, </w:t>
      </w:r>
      <w:r w:rsidR="0098163F" w:rsidRPr="00401057">
        <w:t xml:space="preserve">et </w:t>
      </w:r>
      <w:r w:rsidR="00AB3CE0" w:rsidRPr="00401057">
        <w:rPr>
          <w:rFonts w:ascii="Times New Roman" w:eastAsiaTheme="minorEastAsia" w:hAnsi="Times New Roman" w:cs="Times New Roman"/>
          <w:i/>
          <w:iCs/>
          <w:szCs w:val="22"/>
        </w:rPr>
        <w:t xml:space="preserve">Mirjana </w:t>
      </w:r>
      <w:r w:rsidR="00AB3CE0" w:rsidRPr="00401057">
        <w:rPr>
          <w:rFonts w:ascii="Times New Roman" w:eastAsiaTheme="minorEastAsia" w:hAnsi="Times New Roman" w:cs="Times New Roman"/>
          <w:i/>
          <w:szCs w:val="22"/>
        </w:rPr>
        <w:t>Marić</w:t>
      </w:r>
      <w:r w:rsidR="004E438D" w:rsidRPr="00401057">
        <w:rPr>
          <w:rFonts w:ascii="Times New Roman" w:eastAsiaTheme="minorEastAsia" w:hAnsi="Times New Roman" w:cs="Times New Roman"/>
          <w:i/>
          <w:szCs w:val="22"/>
        </w:rPr>
        <w:t> </w:t>
      </w:r>
      <w:r w:rsidR="00AB3CE0" w:rsidRPr="00401057">
        <w:rPr>
          <w:rFonts w:ascii="Times New Roman" w:hAnsi="Times New Roman" w:cs="Times New Roman"/>
          <w:i/>
        </w:rPr>
        <w:t>c. Croatie</w:t>
      </w:r>
      <w:r w:rsidR="00AB3CE0" w:rsidRPr="00401057">
        <w:rPr>
          <w:rFonts w:ascii="Times New Roman" w:hAnsi="Times New Roman" w:cs="Times New Roman"/>
        </w:rPr>
        <w:t>, n</w:t>
      </w:r>
      <w:r w:rsidR="00AB3CE0" w:rsidRPr="00401057">
        <w:rPr>
          <w:rFonts w:ascii="Times New Roman" w:hAnsi="Times New Roman" w:cs="Times New Roman"/>
          <w:vertAlign w:val="superscript"/>
        </w:rPr>
        <w:t>o</w:t>
      </w:r>
      <w:r w:rsidR="00AB3CE0" w:rsidRPr="00401057">
        <w:rPr>
          <w:rFonts w:ascii="Times New Roman" w:hAnsi="Times New Roman" w:cs="Times New Roman"/>
        </w:rPr>
        <w:t xml:space="preserve"> </w:t>
      </w:r>
      <w:r w:rsidR="00AB3CE0" w:rsidRPr="00401057">
        <w:rPr>
          <w:rFonts w:ascii="Times New Roman" w:eastAsiaTheme="minorEastAsia" w:hAnsi="Times New Roman" w:cs="Times New Roman"/>
          <w:szCs w:val="22"/>
        </w:rPr>
        <w:t xml:space="preserve">9849/15, §§ 72-81, 30 </w:t>
      </w:r>
      <w:r w:rsidR="00AB3CE0" w:rsidRPr="00401057">
        <w:rPr>
          <w:rFonts w:ascii="Times New Roman" w:hAnsi="Times New Roman" w:cs="Times New Roman"/>
        </w:rPr>
        <w:t xml:space="preserve">juillet </w:t>
      </w:r>
      <w:r w:rsidR="00AB3CE0" w:rsidRPr="00401057">
        <w:rPr>
          <w:rFonts w:ascii="Times New Roman" w:eastAsiaTheme="minorEastAsia" w:hAnsi="Times New Roman" w:cs="Times New Roman"/>
          <w:szCs w:val="22"/>
        </w:rPr>
        <w:t>2020</w:t>
      </w:r>
      <w:r w:rsidR="00AB3CE0" w:rsidRPr="00401057">
        <w:t>). Elle a reconnu au recours préventif un caractère « effectif » dès lors que pareil recours permet d</w:t>
      </w:r>
      <w:r w:rsidR="00401057" w:rsidRPr="00401057">
        <w:t>’</w:t>
      </w:r>
      <w:r w:rsidR="00AB3CE0" w:rsidRPr="00401057">
        <w:t>hâter la prise d</w:t>
      </w:r>
      <w:r w:rsidR="00401057" w:rsidRPr="00401057">
        <w:t>’</w:t>
      </w:r>
      <w:r w:rsidR="00AB3CE0" w:rsidRPr="00401057">
        <w:t>une décision sur l</w:t>
      </w:r>
      <w:r w:rsidR="00401057" w:rsidRPr="00401057">
        <w:t>’</w:t>
      </w:r>
      <w:r w:rsidR="00AB3CE0" w:rsidRPr="00401057">
        <w:t>affaire dont le tribunal est saisi et prévoit des conditions visant à garantir l</w:t>
      </w:r>
      <w:r w:rsidR="00401057" w:rsidRPr="00401057">
        <w:t>’</w:t>
      </w:r>
      <w:r w:rsidR="00AB3CE0" w:rsidRPr="00401057">
        <w:t>examen d</w:t>
      </w:r>
      <w:r w:rsidR="00401057" w:rsidRPr="00401057">
        <w:t>’</w:t>
      </w:r>
      <w:r w:rsidR="00AB3CE0" w:rsidRPr="00401057">
        <w:t>une telle demande par les autorités judiciaires saisies. S</w:t>
      </w:r>
      <w:r w:rsidR="00401057" w:rsidRPr="00401057">
        <w:t>’</w:t>
      </w:r>
      <w:r w:rsidR="00AB3CE0" w:rsidRPr="00401057">
        <w:t>agissant des recours introduits en 2015, la Cour renvoie au constat fait par la Cour constitutionnelle. Dans son arrêt de 2018, la Cour constitutionnelle a affirmé que les recours de nature préventive introduits par la loi Pinto n</w:t>
      </w:r>
      <w:r w:rsidR="00401057" w:rsidRPr="00401057">
        <w:t>’</w:t>
      </w:r>
      <w:r w:rsidR="00AB3CE0" w:rsidRPr="00401057">
        <w:t>ont aucun effet réel sur le déroulement de la procédure, étant donné que les juridictions n</w:t>
      </w:r>
      <w:r w:rsidR="00401057" w:rsidRPr="00401057">
        <w:t>’</w:t>
      </w:r>
      <w:r w:rsidR="00AB3CE0" w:rsidRPr="00401057">
        <w:t>ont aucune obligation d</w:t>
      </w:r>
      <w:r w:rsidR="00401057" w:rsidRPr="00401057">
        <w:t>’</w:t>
      </w:r>
      <w:r w:rsidR="00AB3CE0" w:rsidRPr="00401057">
        <w:t>accélérer la procédure, elles ont une simple faculté d</w:t>
      </w:r>
      <w:r w:rsidR="00401057" w:rsidRPr="00401057">
        <w:t>’</w:t>
      </w:r>
      <w:r w:rsidR="00AB3CE0" w:rsidRPr="00401057">
        <w:t>y parvenir, et que, comme indiqué par l</w:t>
      </w:r>
      <w:r w:rsidR="00401057" w:rsidRPr="00401057">
        <w:t>’</w:t>
      </w:r>
      <w:r w:rsidR="00AB3CE0" w:rsidRPr="00401057">
        <w:t xml:space="preserve">article 1 </w:t>
      </w:r>
      <w:r w:rsidR="00AB3CE0" w:rsidRPr="00401057">
        <w:rPr>
          <w:i/>
          <w:iCs/>
        </w:rPr>
        <w:t>ter</w:t>
      </w:r>
      <w:r w:rsidR="00AB3CE0" w:rsidRPr="00401057">
        <w:t xml:space="preserve"> de la même loi, l</w:t>
      </w:r>
      <w:r w:rsidR="00401057" w:rsidRPr="00401057">
        <w:t>’</w:t>
      </w:r>
      <w:r w:rsidR="00AB3CE0" w:rsidRPr="00401057">
        <w:t>ordre dans le traitement des procédures, déterminé par d</w:t>
      </w:r>
      <w:r w:rsidR="00401057" w:rsidRPr="00401057">
        <w:t>’</w:t>
      </w:r>
      <w:r w:rsidR="00AB3CE0" w:rsidRPr="00401057">
        <w:t>autres dispositions de loi, n</w:t>
      </w:r>
      <w:r w:rsidR="00401057" w:rsidRPr="00401057">
        <w:t>’</w:t>
      </w:r>
      <w:r w:rsidR="00AB3CE0" w:rsidRPr="00401057">
        <w:t>est pas affecté par les recours préventifs en question (paragraphe </w:t>
      </w:r>
      <w:r w:rsidR="00AB3CE0" w:rsidRPr="00401057">
        <w:fldChar w:fldCharType="begin"/>
      </w:r>
      <w:r w:rsidR="00AB3CE0" w:rsidRPr="00401057">
        <w:instrText xml:space="preserve"> REF loi_PINTO \h </w:instrText>
      </w:r>
      <w:r w:rsidR="008008B8" w:rsidRPr="00401057">
        <w:instrText xml:space="preserve"> \* MERGEFORMAT </w:instrText>
      </w:r>
      <w:r w:rsidR="00AB3CE0" w:rsidRPr="00401057">
        <w:fldChar w:fldCharType="separate"/>
      </w:r>
      <w:r w:rsidR="00401057" w:rsidRPr="00401057">
        <w:rPr>
          <w:noProof/>
        </w:rPr>
        <w:t>6</w:t>
      </w:r>
      <w:r w:rsidR="00AB3CE0" w:rsidRPr="00401057">
        <w:fldChar w:fldCharType="end"/>
      </w:r>
      <w:r w:rsidR="00AB3CE0" w:rsidRPr="00401057">
        <w:t xml:space="preserve"> ci-dessus).</w:t>
      </w:r>
    </w:p>
    <w:p w14:paraId="30150F72" w14:textId="2623C2B1" w:rsidR="00AB3CE0" w:rsidRPr="00401057" w:rsidRDefault="00EC30E9" w:rsidP="00401057">
      <w:pPr>
        <w:pStyle w:val="JuPara"/>
      </w:pPr>
      <w:r>
        <w:fldChar w:fldCharType="begin"/>
      </w:r>
      <w:r>
        <w:instrText xml:space="preserve"> SEQ level0 \*arabic \* MERGEFORMAT </w:instrText>
      </w:r>
      <w:r>
        <w:fldChar w:fldCharType="separate"/>
      </w:r>
      <w:r w:rsidR="00401057" w:rsidRPr="00401057">
        <w:rPr>
          <w:noProof/>
        </w:rPr>
        <w:t>30</w:t>
      </w:r>
      <w:r>
        <w:rPr>
          <w:noProof/>
        </w:rPr>
        <w:fldChar w:fldCharType="end"/>
      </w:r>
      <w:r w:rsidR="00AB3CE0" w:rsidRPr="00401057">
        <w:t>.  À la lumière de tout ce qui précède, la Cour estime que le recours prévu par la loi Pinto, à la suite de la réforme de 2012 de l</w:t>
      </w:r>
      <w:r w:rsidR="00401057" w:rsidRPr="00401057">
        <w:t>’</w:t>
      </w:r>
      <w:r w:rsidR="00AB3CE0" w:rsidRPr="00401057">
        <w:t>article 4 de la loi précitée et jusqu</w:t>
      </w:r>
      <w:r w:rsidR="00401057" w:rsidRPr="00401057">
        <w:t>’</w:t>
      </w:r>
      <w:r w:rsidR="00AB3CE0" w:rsidRPr="00401057">
        <w:t>à l</w:t>
      </w:r>
      <w:r w:rsidR="00401057" w:rsidRPr="00401057">
        <w:t>’</w:t>
      </w:r>
      <w:r w:rsidR="00AB3CE0" w:rsidRPr="00401057">
        <w:t>arrêt de la Cour constitutionnelle de 2018 (paragraphes </w:t>
      </w:r>
      <w:r w:rsidR="00AB3CE0" w:rsidRPr="00401057">
        <w:fldChar w:fldCharType="begin"/>
      </w:r>
      <w:r w:rsidR="00AB3CE0" w:rsidRPr="00401057">
        <w:instrText xml:space="preserve"> REF CCOST_2018 \h </w:instrText>
      </w:r>
      <w:r w:rsidR="008008B8" w:rsidRPr="00401057">
        <w:instrText xml:space="preserve"> \* MERGEFORMAT </w:instrText>
      </w:r>
      <w:r w:rsidR="00AB3CE0" w:rsidRPr="00401057">
        <w:fldChar w:fldCharType="separate"/>
      </w:r>
      <w:r w:rsidR="00401057" w:rsidRPr="00401057">
        <w:rPr>
          <w:noProof/>
        </w:rPr>
        <w:t>8</w:t>
      </w:r>
      <w:r w:rsidR="00AB3CE0" w:rsidRPr="00401057">
        <w:fldChar w:fldCharType="end"/>
      </w:r>
      <w:r w:rsidR="00AB3CE0" w:rsidRPr="00401057">
        <w:t xml:space="preserve"> et </w:t>
      </w:r>
      <w:r w:rsidR="00AB3CE0" w:rsidRPr="00401057">
        <w:fldChar w:fldCharType="begin"/>
      </w:r>
      <w:r w:rsidR="00AB3CE0" w:rsidRPr="00401057">
        <w:instrText xml:space="preserve"> REF COUR_limite \h </w:instrText>
      </w:r>
      <w:r w:rsidR="008008B8" w:rsidRPr="00401057">
        <w:instrText xml:space="preserve"> \* MERGEFORMAT </w:instrText>
      </w:r>
      <w:r w:rsidR="00AB3CE0" w:rsidRPr="00401057">
        <w:fldChar w:fldCharType="separate"/>
      </w:r>
      <w:r w:rsidR="00401057" w:rsidRPr="00401057">
        <w:rPr>
          <w:noProof/>
        </w:rPr>
        <w:t>23</w:t>
      </w:r>
      <w:r w:rsidR="00AB3CE0" w:rsidRPr="00401057">
        <w:fldChar w:fldCharType="end"/>
      </w:r>
      <w:r w:rsidR="00AB3CE0" w:rsidRPr="00401057">
        <w:t xml:space="preserve"> ci-dessus), ne peut pas être considéré comme un recours effectif au sens de l</w:t>
      </w:r>
      <w:r w:rsidR="00401057" w:rsidRPr="00401057">
        <w:t>’</w:t>
      </w:r>
      <w:r w:rsidR="00AB3CE0" w:rsidRPr="00401057">
        <w:t>article 13 de la Convention. Il y a donc lieu de rejeter l</w:t>
      </w:r>
      <w:r w:rsidR="00401057" w:rsidRPr="00401057">
        <w:t>’</w:t>
      </w:r>
      <w:r w:rsidR="00AB3CE0" w:rsidRPr="00401057">
        <w:t>exception de non-épuisement soulevée par le Gouvernement et de conclure à la violation de l</w:t>
      </w:r>
      <w:r w:rsidR="00401057" w:rsidRPr="00401057">
        <w:t>’</w:t>
      </w:r>
      <w:r w:rsidR="00AB3CE0" w:rsidRPr="00401057">
        <w:t>article 13 de la Convention.</w:t>
      </w:r>
    </w:p>
    <w:p w14:paraId="32FE42EF" w14:textId="64CE2131" w:rsidR="00AB3CE0" w:rsidRPr="00401057" w:rsidRDefault="00AB3CE0" w:rsidP="00401057">
      <w:pPr>
        <w:pStyle w:val="JuH1"/>
      </w:pPr>
      <w:r w:rsidRPr="00401057">
        <w:t>Sur la violation alléguée de l</w:t>
      </w:r>
      <w:r w:rsidR="00401057" w:rsidRPr="00401057">
        <w:t>’</w:t>
      </w:r>
      <w:r w:rsidRPr="00401057">
        <w:t>article 6 § 1 de la Convention</w:t>
      </w:r>
    </w:p>
    <w:p w14:paraId="5F5A9F57" w14:textId="60D71153" w:rsidR="00AB3CE0" w:rsidRPr="00401057" w:rsidRDefault="00EC30E9" w:rsidP="00401057">
      <w:pPr>
        <w:pStyle w:val="JuPara"/>
      </w:pPr>
      <w:r>
        <w:fldChar w:fldCharType="begin"/>
      </w:r>
      <w:r>
        <w:instrText xml:space="preserve"> SEQ level0 \*arabic \* MERGEFORMAT </w:instrText>
      </w:r>
      <w:r>
        <w:fldChar w:fldCharType="separate"/>
      </w:r>
      <w:r w:rsidR="00401057" w:rsidRPr="00401057">
        <w:rPr>
          <w:noProof/>
        </w:rPr>
        <w:t>31</w:t>
      </w:r>
      <w:r>
        <w:rPr>
          <w:noProof/>
        </w:rPr>
        <w:fldChar w:fldCharType="end"/>
      </w:r>
      <w:r w:rsidR="00AB3CE0" w:rsidRPr="00401057">
        <w:t>.  </w:t>
      </w:r>
      <w:r w:rsidR="00AB3CE0" w:rsidRPr="00401057">
        <w:rPr>
          <w:rFonts w:ascii="Times New Roman" w:eastAsia="Times New Roman" w:hAnsi="Times New Roman" w:cs="Times New Roman"/>
        </w:rPr>
        <w:t>Le caractère raisonnable de la durée d</w:t>
      </w:r>
      <w:r w:rsidR="00401057" w:rsidRPr="00401057">
        <w:rPr>
          <w:rFonts w:ascii="Times New Roman" w:eastAsia="Times New Roman" w:hAnsi="Times New Roman" w:cs="Times New Roman"/>
        </w:rPr>
        <w:t>’</w:t>
      </w:r>
      <w:r w:rsidR="00AB3CE0" w:rsidRPr="00401057">
        <w:rPr>
          <w:rFonts w:ascii="Times New Roman" w:eastAsia="Times New Roman" w:hAnsi="Times New Roman" w:cs="Times New Roman"/>
        </w:rPr>
        <w:t>une procédure s</w:t>
      </w:r>
      <w:r w:rsidR="00401057" w:rsidRPr="00401057">
        <w:rPr>
          <w:rFonts w:ascii="Times New Roman" w:eastAsia="Times New Roman" w:hAnsi="Times New Roman" w:cs="Times New Roman"/>
        </w:rPr>
        <w:t>’</w:t>
      </w:r>
      <w:r w:rsidR="00AB3CE0" w:rsidRPr="00401057">
        <w:rPr>
          <w:rFonts w:ascii="Times New Roman" w:eastAsia="Times New Roman" w:hAnsi="Times New Roman" w:cs="Times New Roman"/>
        </w:rPr>
        <w:t>apprécie à la lumière des circonstances de la cause et eu égard aux critères suivants : la complexité de l</w:t>
      </w:r>
      <w:r w:rsidR="00401057" w:rsidRPr="00401057">
        <w:rPr>
          <w:rFonts w:ascii="Times New Roman" w:eastAsia="Times New Roman" w:hAnsi="Times New Roman" w:cs="Times New Roman"/>
        </w:rPr>
        <w:t>’</w:t>
      </w:r>
      <w:r w:rsidR="00AB3CE0" w:rsidRPr="00401057">
        <w:rPr>
          <w:rFonts w:ascii="Times New Roman" w:eastAsia="Times New Roman" w:hAnsi="Times New Roman" w:cs="Times New Roman"/>
        </w:rPr>
        <w:t>affaire, le comportement du requérant et celui des autorités compétentes et l</w:t>
      </w:r>
      <w:r w:rsidR="00401057" w:rsidRPr="00401057">
        <w:rPr>
          <w:rFonts w:ascii="Times New Roman" w:eastAsia="Times New Roman" w:hAnsi="Times New Roman" w:cs="Times New Roman"/>
        </w:rPr>
        <w:t>’</w:t>
      </w:r>
      <w:r w:rsidR="00AB3CE0" w:rsidRPr="00401057">
        <w:rPr>
          <w:rFonts w:ascii="Times New Roman" w:eastAsia="Times New Roman" w:hAnsi="Times New Roman" w:cs="Times New Roman"/>
        </w:rPr>
        <w:t>enjeu du litige pour l</w:t>
      </w:r>
      <w:r w:rsidR="00401057" w:rsidRPr="00401057">
        <w:rPr>
          <w:rFonts w:ascii="Times New Roman" w:eastAsia="Times New Roman" w:hAnsi="Times New Roman" w:cs="Times New Roman"/>
        </w:rPr>
        <w:t>’</w:t>
      </w:r>
      <w:r w:rsidR="00AB3CE0" w:rsidRPr="00401057">
        <w:rPr>
          <w:rFonts w:ascii="Times New Roman" w:eastAsia="Times New Roman" w:hAnsi="Times New Roman" w:cs="Times New Roman"/>
        </w:rPr>
        <w:t>intéressé (voir, parmi beaucoup d</w:t>
      </w:r>
      <w:r w:rsidR="00401057" w:rsidRPr="00401057">
        <w:rPr>
          <w:rFonts w:ascii="Times New Roman" w:eastAsia="Times New Roman" w:hAnsi="Times New Roman" w:cs="Times New Roman"/>
        </w:rPr>
        <w:t>’</w:t>
      </w:r>
      <w:r w:rsidR="00AB3CE0" w:rsidRPr="00401057">
        <w:rPr>
          <w:rFonts w:ascii="Times New Roman" w:eastAsia="Times New Roman" w:hAnsi="Times New Roman" w:cs="Times New Roman"/>
        </w:rPr>
        <w:t xml:space="preserve">autres, </w:t>
      </w:r>
      <w:r w:rsidR="00AB3CE0" w:rsidRPr="00401057">
        <w:rPr>
          <w:rFonts w:ascii="Times New Roman" w:eastAsia="Times New Roman" w:hAnsi="Times New Roman" w:cs="Times New Roman"/>
          <w:i/>
        </w:rPr>
        <w:t xml:space="preserve">Cocchiarella </w:t>
      </w:r>
      <w:r w:rsidR="00AB3CE0" w:rsidRPr="00401057">
        <w:rPr>
          <w:rFonts w:ascii="Times New Roman" w:eastAsia="Times New Roman" w:hAnsi="Times New Roman" w:cs="Times New Roman"/>
        </w:rPr>
        <w:t xml:space="preserve">[GC], § 68, </w:t>
      </w:r>
      <w:r w:rsidR="001D5A62" w:rsidRPr="00401057">
        <w:rPr>
          <w:rFonts w:ascii="Times New Roman" w:eastAsia="Times New Roman" w:hAnsi="Times New Roman" w:cs="Times New Roman"/>
        </w:rPr>
        <w:t>précité</w:t>
      </w:r>
      <w:r w:rsidR="00AB3CE0" w:rsidRPr="00401057">
        <w:rPr>
          <w:rFonts w:ascii="Times New Roman" w:eastAsia="Times New Roman" w:hAnsi="Times New Roman" w:cs="Times New Roman"/>
        </w:rPr>
        <w:t xml:space="preserve">, et </w:t>
      </w:r>
      <w:r w:rsidR="00AB3CE0" w:rsidRPr="00401057">
        <w:rPr>
          <w:rFonts w:ascii="Times New Roman" w:eastAsia="Times New Roman" w:hAnsi="Times New Roman" w:cs="Times New Roman"/>
          <w:i/>
        </w:rPr>
        <w:t>Frydlender c. France</w:t>
      </w:r>
      <w:r w:rsidR="00AB3CE0" w:rsidRPr="00401057">
        <w:rPr>
          <w:rFonts w:ascii="Times New Roman" w:eastAsia="Times New Roman" w:hAnsi="Times New Roman" w:cs="Times New Roman"/>
        </w:rPr>
        <w:t xml:space="preserve"> [GC], n</w:t>
      </w:r>
      <w:r w:rsidR="00AB3CE0" w:rsidRPr="00401057">
        <w:rPr>
          <w:rFonts w:ascii="Times New Roman" w:eastAsia="Times New Roman" w:hAnsi="Times New Roman" w:cs="Times New Roman"/>
          <w:vertAlign w:val="superscript"/>
        </w:rPr>
        <w:t>o</w:t>
      </w:r>
      <w:r w:rsidR="00AB3CE0" w:rsidRPr="00401057">
        <w:rPr>
          <w:rFonts w:ascii="Times New Roman" w:eastAsia="Times New Roman" w:hAnsi="Times New Roman" w:cs="Times New Roman"/>
        </w:rPr>
        <w:t> 30979/96, § 43, CEDH 2000</w:t>
      </w:r>
      <w:r w:rsidR="00AB3CE0" w:rsidRPr="00401057">
        <w:rPr>
          <w:rFonts w:ascii="Times New Roman" w:eastAsia="Times New Roman" w:hAnsi="Times New Roman" w:cs="Times New Roman"/>
        </w:rPr>
        <w:noBreakHyphen/>
        <w:t>VII).</w:t>
      </w:r>
    </w:p>
    <w:bookmarkEnd w:id="21"/>
    <w:p w14:paraId="329FC89D" w14:textId="12B592E5" w:rsidR="00AB3CE0" w:rsidRPr="00401057" w:rsidRDefault="00AB3CE0" w:rsidP="00401057">
      <w:pPr>
        <w:pStyle w:val="JuPara"/>
      </w:pPr>
      <w:r w:rsidRPr="00401057">
        <w:fldChar w:fldCharType="begin"/>
      </w:r>
      <w:r w:rsidRPr="00401057">
        <w:instrText xml:space="preserve"> SEQ level0 \*arabic </w:instrText>
      </w:r>
      <w:r w:rsidRPr="00401057">
        <w:fldChar w:fldCharType="separate"/>
      </w:r>
      <w:r w:rsidR="00401057" w:rsidRPr="00401057">
        <w:rPr>
          <w:noProof/>
        </w:rPr>
        <w:t>32</w:t>
      </w:r>
      <w:r w:rsidRPr="00401057">
        <w:fldChar w:fldCharType="end"/>
      </w:r>
      <w:r w:rsidRPr="00401057">
        <w:t>.  </w:t>
      </w:r>
      <w:bookmarkStart w:id="23" w:name="_Hlk36127707"/>
      <w:r w:rsidRPr="00401057">
        <w:t>En ce qui concerne la durée des procédures suivies devant les juridictions internes, la Cour renvoie au tableau en annexe. La durée variable de ces procédures comprise entre neuf et vingt-quatre ans est excessive et ne répond pas à l</w:t>
      </w:r>
      <w:r w:rsidR="00401057" w:rsidRPr="00401057">
        <w:t>’</w:t>
      </w:r>
      <w:r w:rsidRPr="00401057">
        <w:t>exigence du « délai raisonnable » prévu à l</w:t>
      </w:r>
      <w:r w:rsidR="00401057" w:rsidRPr="00401057">
        <w:t>’</w:t>
      </w:r>
      <w:r w:rsidRPr="00401057">
        <w:t>article 6 § 1.</w:t>
      </w:r>
      <w:bookmarkEnd w:id="23"/>
    </w:p>
    <w:p w14:paraId="36DFFA1D" w14:textId="252EB9A0" w:rsidR="00AB3CE0" w:rsidRPr="00401057" w:rsidRDefault="00AB3CE0" w:rsidP="00401057">
      <w:pPr>
        <w:pStyle w:val="JuPara"/>
      </w:pPr>
      <w:r w:rsidRPr="00401057">
        <w:fldChar w:fldCharType="begin"/>
      </w:r>
      <w:r w:rsidRPr="00401057">
        <w:instrText xml:space="preserve"> SEQ level0 \*arabic </w:instrText>
      </w:r>
      <w:r w:rsidRPr="00401057">
        <w:fldChar w:fldCharType="separate"/>
      </w:r>
      <w:r w:rsidR="00401057" w:rsidRPr="00401057">
        <w:rPr>
          <w:noProof/>
        </w:rPr>
        <w:t>33</w:t>
      </w:r>
      <w:r w:rsidRPr="00401057">
        <w:fldChar w:fldCharType="end"/>
      </w:r>
      <w:r w:rsidRPr="00401057">
        <w:t>.  </w:t>
      </w:r>
      <w:bookmarkStart w:id="24" w:name="_Hlk36127749"/>
      <w:r w:rsidRPr="00401057">
        <w:t>Partant, il y a eu violation de l</w:t>
      </w:r>
      <w:r w:rsidR="00401057" w:rsidRPr="00401057">
        <w:t>’</w:t>
      </w:r>
      <w:r w:rsidRPr="00401057">
        <w:t>article 6 § 1 de la Convention</w:t>
      </w:r>
      <w:bookmarkEnd w:id="24"/>
      <w:r w:rsidRPr="00401057">
        <w:t>.</w:t>
      </w:r>
      <w:bookmarkEnd w:id="14"/>
    </w:p>
    <w:p w14:paraId="498B0486" w14:textId="74124C73" w:rsidR="00AB3CE0" w:rsidRPr="00401057" w:rsidRDefault="00AB3CE0" w:rsidP="00401057">
      <w:pPr>
        <w:pStyle w:val="JuHIRoman"/>
      </w:pPr>
      <w:r w:rsidRPr="00401057">
        <w:lastRenderedPageBreak/>
        <w:t>SUR L</w:t>
      </w:r>
      <w:r w:rsidR="00401057" w:rsidRPr="00401057">
        <w:t>’</w:t>
      </w:r>
      <w:r w:rsidRPr="00401057">
        <w:t>APPLICATION DE L</w:t>
      </w:r>
      <w:r w:rsidR="00401057" w:rsidRPr="00401057">
        <w:t>’</w:t>
      </w:r>
      <w:r w:rsidRPr="00401057">
        <w:t>ARTICLE 41 DE LA CONVENTION</w:t>
      </w:r>
    </w:p>
    <w:p w14:paraId="75396849" w14:textId="49559658" w:rsidR="00AB3CE0" w:rsidRPr="00401057" w:rsidRDefault="00AB3CE0" w:rsidP="00401057">
      <w:pPr>
        <w:pStyle w:val="JuPara"/>
      </w:pPr>
      <w:r w:rsidRPr="00401057">
        <w:fldChar w:fldCharType="begin"/>
      </w:r>
      <w:r w:rsidRPr="00401057">
        <w:instrText xml:space="preserve"> SEQ level0 \*arabic </w:instrText>
      </w:r>
      <w:r w:rsidRPr="00401057">
        <w:fldChar w:fldCharType="separate"/>
      </w:r>
      <w:r w:rsidR="00401057" w:rsidRPr="00401057">
        <w:rPr>
          <w:noProof/>
        </w:rPr>
        <w:t>34</w:t>
      </w:r>
      <w:r w:rsidRPr="00401057">
        <w:fldChar w:fldCharType="end"/>
      </w:r>
      <w:r w:rsidRPr="00401057">
        <w:t>.  </w:t>
      </w:r>
      <w:bookmarkStart w:id="25" w:name="_Hlk36128236"/>
      <w:r w:rsidRPr="00401057">
        <w:t>Aux termes de l</w:t>
      </w:r>
      <w:r w:rsidR="00401057" w:rsidRPr="00401057">
        <w:t>’</w:t>
      </w:r>
      <w:r w:rsidRPr="00401057">
        <w:t>article 41 de la Convention,</w:t>
      </w:r>
      <w:bookmarkEnd w:id="25"/>
    </w:p>
    <w:p w14:paraId="3662B008" w14:textId="7D74F452" w:rsidR="00AB3CE0" w:rsidRPr="00401057" w:rsidRDefault="00AB3CE0" w:rsidP="00401057">
      <w:pPr>
        <w:pStyle w:val="JuQuot"/>
      </w:pPr>
      <w:bookmarkStart w:id="26" w:name="_Hlk36128242"/>
      <w:r w:rsidRPr="00401057">
        <w:t>« Si la Cour déclare qu</w:t>
      </w:r>
      <w:r w:rsidR="00401057" w:rsidRPr="00401057">
        <w:t>’</w:t>
      </w:r>
      <w:r w:rsidRPr="00401057">
        <w:t>il y a eu violation de la Convention ou de ses Protocoles, et si le droit interne de la Haute Partie contractante ne permet d</w:t>
      </w:r>
      <w:r w:rsidR="00401057" w:rsidRPr="00401057">
        <w:t>’</w:t>
      </w:r>
      <w:r w:rsidRPr="00401057">
        <w:t>effacer qu</w:t>
      </w:r>
      <w:r w:rsidR="00401057" w:rsidRPr="00401057">
        <w:t>’</w:t>
      </w:r>
      <w:r w:rsidRPr="00401057">
        <w:t>imparfaitement les conséquences de cette violation, la Cour accorde à la partie lésée, s</w:t>
      </w:r>
      <w:r w:rsidR="00401057" w:rsidRPr="00401057">
        <w:t>’</w:t>
      </w:r>
      <w:r w:rsidRPr="00401057">
        <w:t>il y a lieu, une satisfaction équitable. »</w:t>
      </w:r>
      <w:bookmarkEnd w:id="26"/>
    </w:p>
    <w:p w14:paraId="0307F1F6" w14:textId="4BBE7C37" w:rsidR="00AB3CE0" w:rsidRPr="00401057" w:rsidRDefault="00AB3CE0" w:rsidP="00401057">
      <w:pPr>
        <w:pStyle w:val="JuHA"/>
      </w:pPr>
      <w:r w:rsidRPr="00401057">
        <w:t>Dommage</w:t>
      </w:r>
    </w:p>
    <w:p w14:paraId="62DA0FAE" w14:textId="107CFEB6" w:rsidR="00AB3CE0" w:rsidRPr="00401057" w:rsidRDefault="00AB3CE0" w:rsidP="00401057">
      <w:pPr>
        <w:pStyle w:val="JuPara"/>
      </w:pPr>
      <w:r w:rsidRPr="00401057">
        <w:fldChar w:fldCharType="begin"/>
      </w:r>
      <w:r w:rsidRPr="00401057">
        <w:instrText xml:space="preserve"> SEQ level0 \*arabic </w:instrText>
      </w:r>
      <w:r w:rsidRPr="00401057">
        <w:fldChar w:fldCharType="separate"/>
      </w:r>
      <w:r w:rsidR="00401057" w:rsidRPr="00401057">
        <w:rPr>
          <w:noProof/>
        </w:rPr>
        <w:t>35</w:t>
      </w:r>
      <w:r w:rsidRPr="00401057">
        <w:fldChar w:fldCharType="end"/>
      </w:r>
      <w:r w:rsidRPr="00401057">
        <w:t>.  La Cour observe que les observations des requérants concernant la requête n</w:t>
      </w:r>
      <w:r w:rsidRPr="00401057">
        <w:rPr>
          <w:vertAlign w:val="superscript"/>
        </w:rPr>
        <w:t>o</w:t>
      </w:r>
      <w:r w:rsidRPr="00401057">
        <w:t> 60961/15, contenant aussi leur demande de satisfaction équitable, ont été présentées tardivement, qu</w:t>
      </w:r>
      <w:r w:rsidR="00401057" w:rsidRPr="00401057">
        <w:t>’</w:t>
      </w:r>
      <w:r w:rsidRPr="00401057">
        <w:t>aucune prorogation n</w:t>
      </w:r>
      <w:r w:rsidR="00401057" w:rsidRPr="00401057">
        <w:t>’</w:t>
      </w:r>
      <w:r w:rsidRPr="00401057">
        <w:t>a été sollicitée avant l</w:t>
      </w:r>
      <w:r w:rsidR="00401057" w:rsidRPr="00401057">
        <w:t>’</w:t>
      </w:r>
      <w:r w:rsidRPr="00401057">
        <w:t>expiration du délai imparti et qu</w:t>
      </w:r>
      <w:r w:rsidR="00401057" w:rsidRPr="00401057">
        <w:t>’</w:t>
      </w:r>
      <w:r w:rsidRPr="00401057">
        <w:t>aucune motivation n</w:t>
      </w:r>
      <w:r w:rsidR="00401057" w:rsidRPr="00401057">
        <w:t>’</w:t>
      </w:r>
      <w:r w:rsidRPr="00401057">
        <w:t>a été fournie pour justifier le retard en question. Dès lors, la Cour a décidé, en application de l</w:t>
      </w:r>
      <w:r w:rsidR="00401057" w:rsidRPr="00401057">
        <w:t>’</w:t>
      </w:r>
      <w:r w:rsidRPr="00401057">
        <w:t>article 38 § 1 du règlement de la Cour, de ne pas verser ces observations au dossier en vue de son examen.</w:t>
      </w:r>
    </w:p>
    <w:p w14:paraId="62987195" w14:textId="247C0E0E" w:rsidR="00AB3CE0" w:rsidRPr="00401057" w:rsidRDefault="00EC30E9" w:rsidP="00401057">
      <w:pPr>
        <w:pStyle w:val="JuPara"/>
      </w:pPr>
      <w:r>
        <w:fldChar w:fldCharType="begin"/>
      </w:r>
      <w:r>
        <w:instrText xml:space="preserve"> SEQ level0 \*arabic \* MERGEFORMAT </w:instrText>
      </w:r>
      <w:r>
        <w:fldChar w:fldCharType="separate"/>
      </w:r>
      <w:r w:rsidR="00401057" w:rsidRPr="00401057">
        <w:rPr>
          <w:noProof/>
        </w:rPr>
        <w:t>36</w:t>
      </w:r>
      <w:r>
        <w:rPr>
          <w:noProof/>
        </w:rPr>
        <w:fldChar w:fldCharType="end"/>
      </w:r>
      <w:r w:rsidR="00AB3CE0" w:rsidRPr="00401057">
        <w:t>.  En ce qui concerne les autres requêtes, les requérants demandent des sommes au titre du dommage matériel et moral qu</w:t>
      </w:r>
      <w:r w:rsidR="00401057" w:rsidRPr="00401057">
        <w:t>’</w:t>
      </w:r>
      <w:r w:rsidR="00AB3CE0" w:rsidRPr="00401057">
        <w:t>ils estiment avoir subi, indiquées dans le tableau suivant :</w:t>
      </w:r>
    </w:p>
    <w:p w14:paraId="0D4A5D23" w14:textId="77777777" w:rsidR="00AB3CE0" w:rsidRPr="00401057" w:rsidRDefault="00AB3CE0" w:rsidP="00401057">
      <w:pPr>
        <w:pStyle w:val="JuPara"/>
      </w:pPr>
    </w:p>
    <w:tbl>
      <w:tblPr>
        <w:tblStyle w:val="Grigliatabella"/>
        <w:tblW w:w="6974" w:type="dxa"/>
        <w:tblInd w:w="392" w:type="dxa"/>
        <w:tblLook w:val="04A0" w:firstRow="1" w:lastRow="0" w:firstColumn="1" w:lastColumn="0" w:noHBand="0" w:noVBand="1"/>
      </w:tblPr>
      <w:tblGrid>
        <w:gridCol w:w="567"/>
        <w:gridCol w:w="2680"/>
        <w:gridCol w:w="3727"/>
      </w:tblGrid>
      <w:tr w:rsidR="00AB3CE0" w:rsidRPr="00401057" w14:paraId="412ABB4D" w14:textId="77777777" w:rsidTr="004E438D">
        <w:tc>
          <w:tcPr>
            <w:tcW w:w="567" w:type="dxa"/>
          </w:tcPr>
          <w:p w14:paraId="78E3D2CA" w14:textId="77777777" w:rsidR="00AB3CE0" w:rsidRPr="00401057" w:rsidRDefault="00AB3CE0" w:rsidP="00401057">
            <w:pPr>
              <w:pStyle w:val="JuPara"/>
              <w:ind w:firstLine="0"/>
              <w:rPr>
                <w:b/>
                <w:bCs/>
              </w:rPr>
            </w:pPr>
          </w:p>
        </w:tc>
        <w:tc>
          <w:tcPr>
            <w:tcW w:w="2680" w:type="dxa"/>
          </w:tcPr>
          <w:p w14:paraId="571A8FBC" w14:textId="77777777" w:rsidR="00AB3CE0" w:rsidRPr="00401057" w:rsidRDefault="00AB3CE0" w:rsidP="00401057">
            <w:pPr>
              <w:pStyle w:val="JuPara"/>
              <w:ind w:firstLine="0"/>
            </w:pPr>
            <w:r w:rsidRPr="00401057">
              <w:rPr>
                <w:b/>
                <w:bCs/>
              </w:rPr>
              <w:t>N</w:t>
            </w:r>
            <w:r w:rsidRPr="00401057">
              <w:rPr>
                <w:b/>
                <w:bCs/>
                <w:vertAlign w:val="superscript"/>
              </w:rPr>
              <w:t>o</w:t>
            </w:r>
            <w:r w:rsidRPr="00401057">
              <w:rPr>
                <w:b/>
                <w:bCs/>
              </w:rPr>
              <w:t xml:space="preserve"> de la requête</w:t>
            </w:r>
          </w:p>
        </w:tc>
        <w:tc>
          <w:tcPr>
            <w:tcW w:w="3727" w:type="dxa"/>
          </w:tcPr>
          <w:p w14:paraId="3108FEFB" w14:textId="77777777" w:rsidR="00AB3CE0" w:rsidRPr="00401057" w:rsidRDefault="00AB3CE0" w:rsidP="00401057">
            <w:pPr>
              <w:pStyle w:val="JuPara"/>
              <w:ind w:firstLine="0"/>
              <w:rPr>
                <w:b/>
                <w:bCs/>
              </w:rPr>
            </w:pPr>
            <w:r w:rsidRPr="00401057">
              <w:rPr>
                <w:b/>
                <w:bCs/>
              </w:rPr>
              <w:t>Prétentions au titre du préjudice matériel et/ou moral</w:t>
            </w:r>
          </w:p>
        </w:tc>
      </w:tr>
      <w:tr w:rsidR="00AB3CE0" w:rsidRPr="00401057" w14:paraId="1D5DFFAB" w14:textId="77777777" w:rsidTr="004E438D">
        <w:tc>
          <w:tcPr>
            <w:tcW w:w="567" w:type="dxa"/>
          </w:tcPr>
          <w:p w14:paraId="1F6043D4" w14:textId="77777777" w:rsidR="00AB3CE0" w:rsidRPr="00401057" w:rsidRDefault="00AB3CE0" w:rsidP="00401057">
            <w:pPr>
              <w:pStyle w:val="JuPara"/>
              <w:ind w:firstLine="0"/>
            </w:pPr>
          </w:p>
          <w:p w14:paraId="4B16E119" w14:textId="77777777" w:rsidR="00AB3CE0" w:rsidRPr="00401057" w:rsidRDefault="00AB3CE0" w:rsidP="00401057">
            <w:pPr>
              <w:pStyle w:val="JuPara"/>
              <w:ind w:firstLine="0"/>
            </w:pPr>
            <w:r w:rsidRPr="00401057">
              <w:t>1.</w:t>
            </w:r>
          </w:p>
        </w:tc>
        <w:tc>
          <w:tcPr>
            <w:tcW w:w="2680" w:type="dxa"/>
          </w:tcPr>
          <w:p w14:paraId="47C6680E" w14:textId="77777777" w:rsidR="00AB3CE0" w:rsidRPr="00401057" w:rsidRDefault="00AB3CE0" w:rsidP="00401057">
            <w:pPr>
              <w:pStyle w:val="JuPara"/>
              <w:ind w:firstLine="0"/>
            </w:pPr>
          </w:p>
          <w:p w14:paraId="2192B11D" w14:textId="77777777" w:rsidR="00AB3CE0" w:rsidRPr="00401057" w:rsidRDefault="00AB3CE0" w:rsidP="00401057">
            <w:pPr>
              <w:pStyle w:val="JuPara"/>
              <w:ind w:firstLine="0"/>
            </w:pPr>
            <w:r w:rsidRPr="00401057">
              <w:t>15566/13</w:t>
            </w:r>
          </w:p>
        </w:tc>
        <w:tc>
          <w:tcPr>
            <w:tcW w:w="3727" w:type="dxa"/>
          </w:tcPr>
          <w:p w14:paraId="13A158B7" w14:textId="77777777" w:rsidR="00AB3CE0" w:rsidRPr="00401057" w:rsidRDefault="00AB3CE0" w:rsidP="00401057">
            <w:pPr>
              <w:pStyle w:val="JuPara"/>
              <w:ind w:firstLine="0"/>
            </w:pPr>
          </w:p>
          <w:p w14:paraId="2FD51A48" w14:textId="77777777" w:rsidR="00AB3CE0" w:rsidRPr="00401057" w:rsidRDefault="00AB3CE0" w:rsidP="00401057">
            <w:pPr>
              <w:pStyle w:val="JuPara"/>
              <w:ind w:firstLine="0"/>
            </w:pPr>
            <w:r w:rsidRPr="00401057">
              <w:t>50 000 euros (EUR)</w:t>
            </w:r>
          </w:p>
        </w:tc>
      </w:tr>
      <w:tr w:rsidR="00AB3CE0" w:rsidRPr="00401057" w14:paraId="41B2613D" w14:textId="77777777" w:rsidTr="004E438D">
        <w:tc>
          <w:tcPr>
            <w:tcW w:w="567" w:type="dxa"/>
          </w:tcPr>
          <w:p w14:paraId="3A260FD9" w14:textId="77777777" w:rsidR="00AB3CE0" w:rsidRPr="00401057" w:rsidRDefault="00AB3CE0" w:rsidP="00401057">
            <w:pPr>
              <w:pStyle w:val="JuPara"/>
              <w:ind w:firstLine="0"/>
            </w:pPr>
          </w:p>
          <w:p w14:paraId="613AD1AB" w14:textId="77777777" w:rsidR="00AB3CE0" w:rsidRPr="00401057" w:rsidRDefault="00AB3CE0" w:rsidP="00401057">
            <w:pPr>
              <w:pStyle w:val="JuPara"/>
              <w:ind w:firstLine="0"/>
            </w:pPr>
            <w:r w:rsidRPr="00401057">
              <w:t>2.</w:t>
            </w:r>
          </w:p>
        </w:tc>
        <w:tc>
          <w:tcPr>
            <w:tcW w:w="2680" w:type="dxa"/>
          </w:tcPr>
          <w:p w14:paraId="288A8528" w14:textId="77777777" w:rsidR="00AB3CE0" w:rsidRPr="00401057" w:rsidRDefault="00AB3CE0" w:rsidP="00401057">
            <w:pPr>
              <w:pStyle w:val="JuPara"/>
              <w:ind w:firstLine="0"/>
            </w:pPr>
          </w:p>
          <w:p w14:paraId="652328EB" w14:textId="77777777" w:rsidR="00AB3CE0" w:rsidRPr="00401057" w:rsidRDefault="00AB3CE0" w:rsidP="00401057">
            <w:pPr>
              <w:pStyle w:val="JuPara"/>
              <w:ind w:firstLine="0"/>
            </w:pPr>
            <w:r w:rsidRPr="00401057">
              <w:t>4030/14</w:t>
            </w:r>
          </w:p>
        </w:tc>
        <w:tc>
          <w:tcPr>
            <w:tcW w:w="3727" w:type="dxa"/>
          </w:tcPr>
          <w:p w14:paraId="10E5B3F6" w14:textId="77777777" w:rsidR="00AB3CE0" w:rsidRPr="00401057" w:rsidRDefault="00AB3CE0" w:rsidP="00401057">
            <w:pPr>
              <w:pStyle w:val="JuPara"/>
              <w:ind w:firstLine="0"/>
            </w:pPr>
          </w:p>
          <w:p w14:paraId="5735B01E" w14:textId="77777777" w:rsidR="00AB3CE0" w:rsidRPr="00401057" w:rsidRDefault="00AB3CE0" w:rsidP="00401057">
            <w:pPr>
              <w:pStyle w:val="JuPara"/>
              <w:ind w:firstLine="0"/>
            </w:pPr>
            <w:r w:rsidRPr="00401057">
              <w:t>1 000 000 EUR</w:t>
            </w:r>
          </w:p>
        </w:tc>
      </w:tr>
      <w:tr w:rsidR="00AB3CE0" w:rsidRPr="00401057" w14:paraId="23152D8C" w14:textId="77777777" w:rsidTr="004E438D">
        <w:tc>
          <w:tcPr>
            <w:tcW w:w="567" w:type="dxa"/>
          </w:tcPr>
          <w:p w14:paraId="7349420A" w14:textId="77777777" w:rsidR="00AB3CE0" w:rsidRPr="00401057" w:rsidRDefault="00AB3CE0" w:rsidP="00401057">
            <w:pPr>
              <w:pStyle w:val="JuPara"/>
              <w:ind w:firstLine="0"/>
            </w:pPr>
          </w:p>
          <w:p w14:paraId="5C777484" w14:textId="77777777" w:rsidR="00AB3CE0" w:rsidRPr="00401057" w:rsidRDefault="00AB3CE0" w:rsidP="00401057">
            <w:pPr>
              <w:pStyle w:val="JuPara"/>
              <w:ind w:firstLine="0"/>
              <w:rPr>
                <w:lang w:val="it-IT"/>
              </w:rPr>
            </w:pPr>
            <w:r w:rsidRPr="00401057">
              <w:rPr>
                <w:lang w:val="it-IT"/>
              </w:rPr>
              <w:t>3.</w:t>
            </w:r>
          </w:p>
        </w:tc>
        <w:tc>
          <w:tcPr>
            <w:tcW w:w="2680" w:type="dxa"/>
          </w:tcPr>
          <w:p w14:paraId="6DBDC198" w14:textId="77777777" w:rsidR="00AB3CE0" w:rsidRPr="00401057" w:rsidRDefault="00AB3CE0" w:rsidP="00401057">
            <w:pPr>
              <w:pStyle w:val="JuPara"/>
              <w:ind w:firstLine="0"/>
              <w:rPr>
                <w:lang w:val="it-IT"/>
              </w:rPr>
            </w:pPr>
          </w:p>
          <w:p w14:paraId="23B8D5AA" w14:textId="77777777" w:rsidR="00AB3CE0" w:rsidRPr="00401057" w:rsidRDefault="00AB3CE0" w:rsidP="00401057">
            <w:pPr>
              <w:pStyle w:val="JuPara"/>
              <w:ind w:firstLine="0"/>
              <w:rPr>
                <w:lang w:val="it-IT"/>
              </w:rPr>
            </w:pPr>
            <w:r w:rsidRPr="00401057">
              <w:rPr>
                <w:lang w:val="it-IT"/>
              </w:rPr>
              <w:t>17336/14</w:t>
            </w:r>
          </w:p>
        </w:tc>
        <w:tc>
          <w:tcPr>
            <w:tcW w:w="3727" w:type="dxa"/>
          </w:tcPr>
          <w:p w14:paraId="04E98E8A" w14:textId="77777777" w:rsidR="00AB3CE0" w:rsidRPr="00401057" w:rsidRDefault="00AB3CE0" w:rsidP="00401057">
            <w:pPr>
              <w:pStyle w:val="JuPara"/>
              <w:ind w:firstLine="0"/>
              <w:rPr>
                <w:lang w:val="it-IT"/>
              </w:rPr>
            </w:pPr>
          </w:p>
          <w:p w14:paraId="0F0DE4F4" w14:textId="77777777" w:rsidR="00AB3CE0" w:rsidRPr="00401057" w:rsidRDefault="00AB3CE0" w:rsidP="00401057">
            <w:pPr>
              <w:pStyle w:val="JuPara"/>
              <w:ind w:firstLine="0"/>
              <w:rPr>
                <w:b/>
                <w:bCs/>
                <w:lang w:val="it-IT"/>
              </w:rPr>
            </w:pPr>
            <w:r w:rsidRPr="00401057">
              <w:rPr>
                <w:lang w:val="it-IT"/>
              </w:rPr>
              <w:t xml:space="preserve">45 000 </w:t>
            </w:r>
            <w:r w:rsidRPr="00401057">
              <w:t>EUR</w:t>
            </w:r>
          </w:p>
        </w:tc>
      </w:tr>
      <w:tr w:rsidR="00AB3CE0" w:rsidRPr="00401057" w14:paraId="58CD4506" w14:textId="77777777" w:rsidTr="004E438D">
        <w:tc>
          <w:tcPr>
            <w:tcW w:w="567" w:type="dxa"/>
          </w:tcPr>
          <w:p w14:paraId="7E812394" w14:textId="77777777" w:rsidR="00AB3CE0" w:rsidRPr="00401057" w:rsidRDefault="00AB3CE0" w:rsidP="00401057">
            <w:pPr>
              <w:pStyle w:val="JuPara"/>
              <w:ind w:firstLine="0"/>
              <w:rPr>
                <w:lang w:val="it-IT"/>
              </w:rPr>
            </w:pPr>
          </w:p>
          <w:p w14:paraId="3B3EEF29" w14:textId="77777777" w:rsidR="00AB3CE0" w:rsidRPr="00401057" w:rsidRDefault="00AB3CE0" w:rsidP="00401057">
            <w:pPr>
              <w:pStyle w:val="JuPara"/>
              <w:ind w:firstLine="0"/>
              <w:rPr>
                <w:lang w:val="it-IT"/>
              </w:rPr>
            </w:pPr>
            <w:r w:rsidRPr="00401057">
              <w:rPr>
                <w:lang w:val="it-IT"/>
              </w:rPr>
              <w:t>4.</w:t>
            </w:r>
          </w:p>
        </w:tc>
        <w:tc>
          <w:tcPr>
            <w:tcW w:w="2680" w:type="dxa"/>
          </w:tcPr>
          <w:p w14:paraId="7869BE40" w14:textId="77777777" w:rsidR="00AB3CE0" w:rsidRPr="00401057" w:rsidRDefault="00AB3CE0" w:rsidP="00401057">
            <w:pPr>
              <w:pStyle w:val="JuPara"/>
              <w:ind w:firstLine="0"/>
              <w:rPr>
                <w:lang w:val="pt-PT"/>
              </w:rPr>
            </w:pPr>
          </w:p>
          <w:p w14:paraId="0BB48C99" w14:textId="43882453" w:rsidR="00AB3CE0" w:rsidRPr="00401057" w:rsidRDefault="00AB3CE0" w:rsidP="00401057">
            <w:pPr>
              <w:pStyle w:val="JuPara"/>
              <w:ind w:firstLine="0"/>
              <w:rPr>
                <w:lang w:val="pt-PT"/>
              </w:rPr>
            </w:pPr>
            <w:r w:rsidRPr="00401057">
              <w:rPr>
                <w:lang w:val="it-IT"/>
              </w:rPr>
              <w:t>10767</w:t>
            </w:r>
            <w:r w:rsidR="00B8565F" w:rsidRPr="00401057">
              <w:rPr>
                <w:lang w:val="it-IT"/>
              </w:rPr>
              <w:t>/</w:t>
            </w:r>
            <w:r w:rsidRPr="00401057">
              <w:rPr>
                <w:lang w:val="it-IT"/>
              </w:rPr>
              <w:t>15</w:t>
            </w:r>
          </w:p>
        </w:tc>
        <w:tc>
          <w:tcPr>
            <w:tcW w:w="3727" w:type="dxa"/>
          </w:tcPr>
          <w:p w14:paraId="30917F4C" w14:textId="525EBF44" w:rsidR="00AB3CE0" w:rsidRPr="00401057" w:rsidRDefault="00AB3CE0" w:rsidP="00401057">
            <w:pPr>
              <w:pStyle w:val="JuPara"/>
              <w:ind w:firstLine="0"/>
            </w:pPr>
            <w:r w:rsidRPr="00401057">
              <w:t>Le requérant s</w:t>
            </w:r>
            <w:r w:rsidR="00401057" w:rsidRPr="00401057">
              <w:t>’</w:t>
            </w:r>
            <w:r w:rsidRPr="00401057">
              <w:t>en remet à la sagesse de la Cour</w:t>
            </w:r>
          </w:p>
        </w:tc>
      </w:tr>
      <w:tr w:rsidR="00AB3CE0" w:rsidRPr="00401057" w14:paraId="57A359FC" w14:textId="77777777" w:rsidTr="004E438D">
        <w:tc>
          <w:tcPr>
            <w:tcW w:w="567" w:type="dxa"/>
          </w:tcPr>
          <w:p w14:paraId="55DDDCC8" w14:textId="77777777" w:rsidR="00AB3CE0" w:rsidRPr="00401057" w:rsidRDefault="00AB3CE0" w:rsidP="00401057">
            <w:pPr>
              <w:pStyle w:val="JuPara"/>
              <w:ind w:firstLine="0"/>
            </w:pPr>
          </w:p>
          <w:p w14:paraId="3B6BCA2F" w14:textId="77777777" w:rsidR="00AB3CE0" w:rsidRPr="00401057" w:rsidRDefault="00AB3CE0" w:rsidP="00401057">
            <w:pPr>
              <w:pStyle w:val="JuPara"/>
              <w:ind w:firstLine="0"/>
              <w:rPr>
                <w:lang w:val="pt-PT"/>
              </w:rPr>
            </w:pPr>
            <w:r w:rsidRPr="00401057">
              <w:rPr>
                <w:lang w:val="pt-PT"/>
              </w:rPr>
              <w:t>5.</w:t>
            </w:r>
          </w:p>
        </w:tc>
        <w:tc>
          <w:tcPr>
            <w:tcW w:w="2680" w:type="dxa"/>
          </w:tcPr>
          <w:p w14:paraId="31384BA3" w14:textId="77777777" w:rsidR="00AB3CE0" w:rsidRPr="00401057" w:rsidRDefault="00AB3CE0" w:rsidP="00401057">
            <w:pPr>
              <w:pStyle w:val="JuPara"/>
              <w:ind w:firstLine="0"/>
            </w:pPr>
          </w:p>
          <w:p w14:paraId="57BA6888" w14:textId="15E7CB05" w:rsidR="00AB3CE0" w:rsidRPr="00401057" w:rsidRDefault="00AB3CE0" w:rsidP="00401057">
            <w:pPr>
              <w:pStyle w:val="JuPara"/>
              <w:ind w:firstLine="0"/>
            </w:pPr>
            <w:r w:rsidRPr="00401057">
              <w:t>21564</w:t>
            </w:r>
            <w:r w:rsidR="00B8565F" w:rsidRPr="00401057">
              <w:t>/</w:t>
            </w:r>
            <w:r w:rsidRPr="00401057">
              <w:t>15</w:t>
            </w:r>
          </w:p>
        </w:tc>
        <w:tc>
          <w:tcPr>
            <w:tcW w:w="3727" w:type="dxa"/>
          </w:tcPr>
          <w:p w14:paraId="25490BB7" w14:textId="77777777" w:rsidR="00AB3CE0" w:rsidRPr="00401057" w:rsidRDefault="00AB3CE0" w:rsidP="00401057">
            <w:pPr>
              <w:pStyle w:val="JuPara"/>
              <w:ind w:firstLine="0"/>
            </w:pPr>
          </w:p>
          <w:p w14:paraId="7E532AF1" w14:textId="77777777" w:rsidR="00AB3CE0" w:rsidRPr="00401057" w:rsidRDefault="00AB3CE0" w:rsidP="00401057">
            <w:pPr>
              <w:pStyle w:val="JuPara"/>
              <w:ind w:firstLine="0"/>
            </w:pPr>
            <w:r w:rsidRPr="00401057">
              <w:t>31 500 EUR</w:t>
            </w:r>
          </w:p>
        </w:tc>
      </w:tr>
    </w:tbl>
    <w:p w14:paraId="30BFEAE5" w14:textId="77777777" w:rsidR="00AB3CE0" w:rsidRPr="00401057" w:rsidRDefault="00AB3CE0" w:rsidP="00401057">
      <w:pPr>
        <w:pStyle w:val="JuPara"/>
      </w:pPr>
    </w:p>
    <w:p w14:paraId="4DA31E92" w14:textId="14FE77E4" w:rsidR="00AB3CE0" w:rsidRPr="00401057" w:rsidRDefault="00EC30E9" w:rsidP="00401057">
      <w:pPr>
        <w:pStyle w:val="JuPara"/>
      </w:pPr>
      <w:r>
        <w:fldChar w:fldCharType="begin"/>
      </w:r>
      <w:r>
        <w:instrText xml:space="preserve"> SEQ level0 \*arabic \* MERGEFORMAT </w:instrText>
      </w:r>
      <w:r>
        <w:fldChar w:fldCharType="separate"/>
      </w:r>
      <w:r w:rsidR="00401057" w:rsidRPr="00401057">
        <w:rPr>
          <w:noProof/>
        </w:rPr>
        <w:t>37</w:t>
      </w:r>
      <w:r>
        <w:rPr>
          <w:noProof/>
        </w:rPr>
        <w:fldChar w:fldCharType="end"/>
      </w:r>
      <w:r w:rsidR="00AB3CE0" w:rsidRPr="00401057">
        <w:t>.  Le Gouvernement conteste ces prétentions.</w:t>
      </w:r>
    </w:p>
    <w:p w14:paraId="05D8968B" w14:textId="7D4C6BB6" w:rsidR="00AB3CE0" w:rsidRPr="00401057" w:rsidRDefault="00AB3CE0" w:rsidP="00401057">
      <w:pPr>
        <w:pStyle w:val="JuPara"/>
      </w:pPr>
      <w:r w:rsidRPr="00401057">
        <w:fldChar w:fldCharType="begin"/>
      </w:r>
      <w:r w:rsidRPr="00401057">
        <w:instrText xml:space="preserve"> SEQ level0 \*arabic </w:instrText>
      </w:r>
      <w:r w:rsidRPr="00401057">
        <w:fldChar w:fldCharType="separate"/>
      </w:r>
      <w:r w:rsidR="00401057" w:rsidRPr="00401057">
        <w:rPr>
          <w:noProof/>
        </w:rPr>
        <w:t>38</w:t>
      </w:r>
      <w:r w:rsidRPr="00401057">
        <w:fldChar w:fldCharType="end"/>
      </w:r>
      <w:r w:rsidRPr="00401057">
        <w:t>.  La Cour ne distingue aucun lien de causalité entre la violation constatée et le dommage matériel réclamé par certains requérants. Elle rejette donc la demande formulée à ce titre. En revanche, elle octroie au titre du dommage moral, pour chaque requête, les sommes indiquées dans le tableau suivant, plus tout montant pouvant être dû à titre d</w:t>
      </w:r>
      <w:r w:rsidR="00401057" w:rsidRPr="00401057">
        <w:t>’</w:t>
      </w:r>
      <w:r w:rsidRPr="00401057">
        <w:t>impôt sur ces sommes :</w:t>
      </w:r>
    </w:p>
    <w:p w14:paraId="6113FB41" w14:textId="77777777" w:rsidR="00AB3CE0" w:rsidRPr="00401057" w:rsidRDefault="00AB3CE0" w:rsidP="00401057">
      <w:pPr>
        <w:pStyle w:val="JuPara"/>
      </w:pPr>
    </w:p>
    <w:tbl>
      <w:tblPr>
        <w:tblStyle w:val="Grigliatabella"/>
        <w:tblW w:w="6974" w:type="dxa"/>
        <w:tblInd w:w="392" w:type="dxa"/>
        <w:tblLook w:val="04A0" w:firstRow="1" w:lastRow="0" w:firstColumn="1" w:lastColumn="0" w:noHBand="0" w:noVBand="1"/>
      </w:tblPr>
      <w:tblGrid>
        <w:gridCol w:w="567"/>
        <w:gridCol w:w="2680"/>
        <w:gridCol w:w="3727"/>
      </w:tblGrid>
      <w:tr w:rsidR="00AB3CE0" w:rsidRPr="00401057" w14:paraId="4FDC1037" w14:textId="77777777" w:rsidTr="0038306D">
        <w:tc>
          <w:tcPr>
            <w:tcW w:w="567" w:type="dxa"/>
          </w:tcPr>
          <w:p w14:paraId="569AE59F" w14:textId="77777777" w:rsidR="00AB3CE0" w:rsidRPr="00401057" w:rsidRDefault="00AB3CE0" w:rsidP="00401057">
            <w:pPr>
              <w:pStyle w:val="JuPara"/>
              <w:keepNext/>
              <w:keepLines/>
              <w:ind w:firstLine="0"/>
              <w:rPr>
                <w:b/>
                <w:bCs/>
              </w:rPr>
            </w:pPr>
          </w:p>
        </w:tc>
        <w:tc>
          <w:tcPr>
            <w:tcW w:w="2680" w:type="dxa"/>
          </w:tcPr>
          <w:p w14:paraId="0F67EC04" w14:textId="77777777" w:rsidR="00AB3CE0" w:rsidRPr="00401057" w:rsidRDefault="00AB3CE0" w:rsidP="00401057">
            <w:pPr>
              <w:pStyle w:val="JuPara"/>
              <w:keepNext/>
              <w:keepLines/>
              <w:ind w:firstLine="0"/>
            </w:pPr>
            <w:r w:rsidRPr="00401057">
              <w:rPr>
                <w:b/>
                <w:bCs/>
              </w:rPr>
              <w:t>N</w:t>
            </w:r>
            <w:r w:rsidRPr="00401057">
              <w:rPr>
                <w:b/>
                <w:bCs/>
                <w:vertAlign w:val="superscript"/>
              </w:rPr>
              <w:t>o</w:t>
            </w:r>
            <w:r w:rsidRPr="00401057">
              <w:rPr>
                <w:b/>
                <w:bCs/>
              </w:rPr>
              <w:t xml:space="preserve"> de la requête</w:t>
            </w:r>
          </w:p>
        </w:tc>
        <w:tc>
          <w:tcPr>
            <w:tcW w:w="3727" w:type="dxa"/>
          </w:tcPr>
          <w:p w14:paraId="20D61478" w14:textId="77777777" w:rsidR="00AB3CE0" w:rsidRPr="00401057" w:rsidRDefault="00AB3CE0" w:rsidP="00401057">
            <w:pPr>
              <w:pStyle w:val="JuPara"/>
              <w:keepNext/>
              <w:keepLines/>
              <w:ind w:firstLine="0"/>
              <w:rPr>
                <w:b/>
                <w:bCs/>
              </w:rPr>
            </w:pPr>
            <w:r w:rsidRPr="00401057">
              <w:rPr>
                <w:b/>
                <w:bCs/>
              </w:rPr>
              <w:t>Somme accordée pour dommage moral pour chaque requête</w:t>
            </w:r>
          </w:p>
        </w:tc>
      </w:tr>
      <w:tr w:rsidR="00AB3CE0" w:rsidRPr="00401057" w14:paraId="40D24ED7" w14:textId="77777777" w:rsidTr="0038306D">
        <w:tc>
          <w:tcPr>
            <w:tcW w:w="567" w:type="dxa"/>
          </w:tcPr>
          <w:p w14:paraId="4866F8E7" w14:textId="77777777" w:rsidR="00AB3CE0" w:rsidRPr="00401057" w:rsidRDefault="00AB3CE0" w:rsidP="00401057">
            <w:pPr>
              <w:pStyle w:val="JuPara"/>
              <w:keepNext/>
              <w:keepLines/>
              <w:ind w:firstLine="0"/>
            </w:pPr>
          </w:p>
          <w:p w14:paraId="3167977A" w14:textId="77777777" w:rsidR="00AB3CE0" w:rsidRPr="00401057" w:rsidRDefault="00AB3CE0" w:rsidP="00401057">
            <w:pPr>
              <w:pStyle w:val="JuPara"/>
              <w:keepNext/>
              <w:keepLines/>
              <w:ind w:firstLine="0"/>
            </w:pPr>
            <w:r w:rsidRPr="00401057">
              <w:t>1.</w:t>
            </w:r>
          </w:p>
        </w:tc>
        <w:tc>
          <w:tcPr>
            <w:tcW w:w="2680" w:type="dxa"/>
          </w:tcPr>
          <w:p w14:paraId="6E2AE9D3" w14:textId="77777777" w:rsidR="00AB3CE0" w:rsidRPr="00401057" w:rsidRDefault="00AB3CE0" w:rsidP="00401057">
            <w:pPr>
              <w:pStyle w:val="JuPara"/>
              <w:keepNext/>
              <w:keepLines/>
              <w:ind w:firstLine="0"/>
            </w:pPr>
          </w:p>
          <w:p w14:paraId="7F5940EE" w14:textId="77777777" w:rsidR="00AB3CE0" w:rsidRPr="00401057" w:rsidRDefault="00AB3CE0" w:rsidP="00401057">
            <w:pPr>
              <w:pStyle w:val="JuPara"/>
              <w:keepNext/>
              <w:keepLines/>
              <w:ind w:firstLine="0"/>
            </w:pPr>
            <w:r w:rsidRPr="00401057">
              <w:t>15566/13</w:t>
            </w:r>
          </w:p>
        </w:tc>
        <w:tc>
          <w:tcPr>
            <w:tcW w:w="3727" w:type="dxa"/>
          </w:tcPr>
          <w:p w14:paraId="1E1CDF47" w14:textId="77777777" w:rsidR="00AB3CE0" w:rsidRPr="00401057" w:rsidRDefault="00AB3CE0" w:rsidP="00401057">
            <w:pPr>
              <w:pStyle w:val="JuPara"/>
              <w:keepNext/>
              <w:keepLines/>
              <w:ind w:firstLine="0"/>
            </w:pPr>
          </w:p>
          <w:p w14:paraId="54AE6129" w14:textId="77777777" w:rsidR="00AB3CE0" w:rsidRPr="00401057" w:rsidRDefault="00AB3CE0" w:rsidP="00401057">
            <w:pPr>
              <w:pStyle w:val="JuPara"/>
              <w:keepNext/>
              <w:keepLines/>
              <w:ind w:firstLine="0"/>
            </w:pPr>
            <w:bookmarkStart w:id="27" w:name="_Hlk94879860"/>
            <w:r w:rsidRPr="00401057">
              <w:t xml:space="preserve">22 000 </w:t>
            </w:r>
            <w:bookmarkEnd w:id="27"/>
            <w:r w:rsidRPr="00401057">
              <w:t>EUR</w:t>
            </w:r>
          </w:p>
        </w:tc>
      </w:tr>
      <w:tr w:rsidR="00AB3CE0" w:rsidRPr="00401057" w14:paraId="4A3B5738" w14:textId="77777777" w:rsidTr="0038306D">
        <w:tc>
          <w:tcPr>
            <w:tcW w:w="567" w:type="dxa"/>
          </w:tcPr>
          <w:p w14:paraId="5F276BFD" w14:textId="77777777" w:rsidR="00AB3CE0" w:rsidRPr="00401057" w:rsidRDefault="00AB3CE0" w:rsidP="00401057">
            <w:pPr>
              <w:pStyle w:val="JuPara"/>
              <w:keepNext/>
              <w:keepLines/>
              <w:ind w:firstLine="0"/>
            </w:pPr>
          </w:p>
          <w:p w14:paraId="0666B99B" w14:textId="77777777" w:rsidR="00AB3CE0" w:rsidRPr="00401057" w:rsidRDefault="00AB3CE0" w:rsidP="00401057">
            <w:pPr>
              <w:pStyle w:val="JuPara"/>
              <w:keepNext/>
              <w:keepLines/>
              <w:ind w:firstLine="0"/>
            </w:pPr>
            <w:r w:rsidRPr="00401057">
              <w:t>2.</w:t>
            </w:r>
          </w:p>
        </w:tc>
        <w:tc>
          <w:tcPr>
            <w:tcW w:w="2680" w:type="dxa"/>
          </w:tcPr>
          <w:p w14:paraId="2DEB29FB" w14:textId="77777777" w:rsidR="00AB3CE0" w:rsidRPr="00401057" w:rsidRDefault="00AB3CE0" w:rsidP="00401057">
            <w:pPr>
              <w:pStyle w:val="JuPara"/>
              <w:keepNext/>
              <w:keepLines/>
              <w:ind w:firstLine="0"/>
            </w:pPr>
          </w:p>
          <w:p w14:paraId="31B63E47" w14:textId="77777777" w:rsidR="00AB3CE0" w:rsidRPr="00401057" w:rsidRDefault="00AB3CE0" w:rsidP="00401057">
            <w:pPr>
              <w:pStyle w:val="JuPara"/>
              <w:keepNext/>
              <w:keepLines/>
              <w:ind w:firstLine="0"/>
            </w:pPr>
            <w:r w:rsidRPr="00401057">
              <w:t>4030/14</w:t>
            </w:r>
          </w:p>
        </w:tc>
        <w:tc>
          <w:tcPr>
            <w:tcW w:w="3727" w:type="dxa"/>
          </w:tcPr>
          <w:p w14:paraId="377FF732" w14:textId="77777777" w:rsidR="00AB3CE0" w:rsidRPr="00401057" w:rsidRDefault="00AB3CE0" w:rsidP="00401057">
            <w:pPr>
              <w:pStyle w:val="JuPara"/>
              <w:keepNext/>
              <w:keepLines/>
              <w:ind w:firstLine="0"/>
            </w:pPr>
          </w:p>
          <w:p w14:paraId="433B04FE" w14:textId="77777777" w:rsidR="00AB3CE0" w:rsidRPr="00401057" w:rsidRDefault="00AB3CE0" w:rsidP="00401057">
            <w:pPr>
              <w:pStyle w:val="JuPara"/>
              <w:keepNext/>
              <w:keepLines/>
              <w:ind w:firstLine="0"/>
            </w:pPr>
            <w:r w:rsidRPr="00401057">
              <w:t>11 000 EUR</w:t>
            </w:r>
          </w:p>
        </w:tc>
      </w:tr>
      <w:tr w:rsidR="00AB3CE0" w:rsidRPr="00401057" w14:paraId="7CB7B3EE" w14:textId="77777777" w:rsidTr="0038306D">
        <w:tc>
          <w:tcPr>
            <w:tcW w:w="567" w:type="dxa"/>
          </w:tcPr>
          <w:p w14:paraId="618DDC1A" w14:textId="77777777" w:rsidR="00AB3CE0" w:rsidRPr="00401057" w:rsidRDefault="00AB3CE0" w:rsidP="00401057">
            <w:pPr>
              <w:pStyle w:val="JuPara"/>
              <w:keepNext/>
              <w:keepLines/>
              <w:ind w:firstLine="0"/>
            </w:pPr>
          </w:p>
          <w:p w14:paraId="1A41CCB4" w14:textId="77777777" w:rsidR="00AB3CE0" w:rsidRPr="00401057" w:rsidRDefault="00AB3CE0" w:rsidP="00401057">
            <w:pPr>
              <w:pStyle w:val="JuPara"/>
              <w:keepNext/>
              <w:keepLines/>
              <w:ind w:firstLine="0"/>
              <w:rPr>
                <w:lang w:val="it-IT"/>
              </w:rPr>
            </w:pPr>
            <w:r w:rsidRPr="00401057">
              <w:rPr>
                <w:lang w:val="it-IT"/>
              </w:rPr>
              <w:t>3.</w:t>
            </w:r>
          </w:p>
        </w:tc>
        <w:tc>
          <w:tcPr>
            <w:tcW w:w="2680" w:type="dxa"/>
          </w:tcPr>
          <w:p w14:paraId="6956E783" w14:textId="77777777" w:rsidR="00AB3CE0" w:rsidRPr="00401057" w:rsidRDefault="00AB3CE0" w:rsidP="00401057">
            <w:pPr>
              <w:pStyle w:val="JuPara"/>
              <w:keepNext/>
              <w:keepLines/>
              <w:ind w:firstLine="0"/>
            </w:pPr>
          </w:p>
          <w:p w14:paraId="45FC696D" w14:textId="77777777" w:rsidR="00AB3CE0" w:rsidRPr="00401057" w:rsidRDefault="00AB3CE0" w:rsidP="00401057">
            <w:pPr>
              <w:pStyle w:val="JuPara"/>
              <w:keepNext/>
              <w:keepLines/>
              <w:ind w:firstLine="0"/>
            </w:pPr>
            <w:r w:rsidRPr="00401057">
              <w:t>17336/14</w:t>
            </w:r>
          </w:p>
        </w:tc>
        <w:tc>
          <w:tcPr>
            <w:tcW w:w="3727" w:type="dxa"/>
          </w:tcPr>
          <w:p w14:paraId="7F655675" w14:textId="77777777" w:rsidR="00AB3CE0" w:rsidRPr="00401057" w:rsidRDefault="00AB3CE0" w:rsidP="00401057">
            <w:pPr>
              <w:pStyle w:val="JuPara"/>
              <w:keepNext/>
              <w:keepLines/>
              <w:ind w:firstLine="0"/>
              <w:rPr>
                <w:lang w:val="it-IT"/>
              </w:rPr>
            </w:pPr>
          </w:p>
          <w:p w14:paraId="6DB2BADD" w14:textId="77777777" w:rsidR="00AB3CE0" w:rsidRPr="00401057" w:rsidRDefault="00AB3CE0" w:rsidP="00401057">
            <w:pPr>
              <w:pStyle w:val="JuPara"/>
              <w:keepNext/>
              <w:keepLines/>
              <w:ind w:firstLine="0"/>
              <w:rPr>
                <w:lang w:val="it-IT"/>
              </w:rPr>
            </w:pPr>
            <w:r w:rsidRPr="00401057">
              <w:rPr>
                <w:lang w:val="it-IT"/>
              </w:rPr>
              <w:t xml:space="preserve">20 000 </w:t>
            </w:r>
            <w:r w:rsidRPr="00401057">
              <w:t>EUR</w:t>
            </w:r>
          </w:p>
        </w:tc>
      </w:tr>
      <w:tr w:rsidR="00AB3CE0" w:rsidRPr="00401057" w14:paraId="48446730" w14:textId="77777777" w:rsidTr="0038306D">
        <w:tc>
          <w:tcPr>
            <w:tcW w:w="567" w:type="dxa"/>
          </w:tcPr>
          <w:p w14:paraId="2E7EB736" w14:textId="77777777" w:rsidR="00AB3CE0" w:rsidRPr="00401057" w:rsidRDefault="00AB3CE0" w:rsidP="00401057">
            <w:pPr>
              <w:pStyle w:val="JuPara"/>
              <w:keepNext/>
              <w:keepLines/>
              <w:ind w:firstLine="0"/>
              <w:rPr>
                <w:lang w:val="it-IT"/>
              </w:rPr>
            </w:pPr>
          </w:p>
          <w:p w14:paraId="4E474EEF" w14:textId="77777777" w:rsidR="00AB3CE0" w:rsidRPr="00401057" w:rsidRDefault="00AB3CE0" w:rsidP="00401057">
            <w:pPr>
              <w:pStyle w:val="JuPara"/>
              <w:keepNext/>
              <w:keepLines/>
              <w:ind w:firstLine="0"/>
              <w:rPr>
                <w:lang w:val="it-IT"/>
              </w:rPr>
            </w:pPr>
            <w:r w:rsidRPr="00401057">
              <w:rPr>
                <w:lang w:val="it-IT"/>
              </w:rPr>
              <w:t>4.</w:t>
            </w:r>
          </w:p>
        </w:tc>
        <w:tc>
          <w:tcPr>
            <w:tcW w:w="2680" w:type="dxa"/>
          </w:tcPr>
          <w:p w14:paraId="20AC0922" w14:textId="77777777" w:rsidR="00AB3CE0" w:rsidRPr="00401057" w:rsidRDefault="00AB3CE0" w:rsidP="00401057">
            <w:pPr>
              <w:pStyle w:val="JuPara"/>
              <w:keepNext/>
              <w:keepLines/>
              <w:ind w:firstLine="0"/>
              <w:rPr>
                <w:lang w:val="pt-PT"/>
              </w:rPr>
            </w:pPr>
          </w:p>
          <w:p w14:paraId="02E71CD2" w14:textId="77777777" w:rsidR="00AB3CE0" w:rsidRPr="00401057" w:rsidRDefault="00AB3CE0" w:rsidP="00401057">
            <w:pPr>
              <w:pStyle w:val="JuPara"/>
              <w:keepNext/>
              <w:keepLines/>
              <w:ind w:firstLine="0"/>
              <w:rPr>
                <w:lang w:val="pt-PT"/>
              </w:rPr>
            </w:pPr>
            <w:bookmarkStart w:id="28" w:name="_Hlk94880119"/>
            <w:r w:rsidRPr="00401057">
              <w:rPr>
                <w:lang w:val="pt-PT"/>
              </w:rPr>
              <w:t>10767/15</w:t>
            </w:r>
            <w:bookmarkEnd w:id="28"/>
          </w:p>
        </w:tc>
        <w:tc>
          <w:tcPr>
            <w:tcW w:w="3727" w:type="dxa"/>
          </w:tcPr>
          <w:p w14:paraId="774951FE" w14:textId="77777777" w:rsidR="00AB3CE0" w:rsidRPr="00401057" w:rsidRDefault="00AB3CE0" w:rsidP="00401057">
            <w:pPr>
              <w:pStyle w:val="JuPara"/>
              <w:keepNext/>
              <w:keepLines/>
              <w:ind w:firstLine="0"/>
            </w:pPr>
          </w:p>
          <w:p w14:paraId="52DB75D6" w14:textId="77777777" w:rsidR="00AB3CE0" w:rsidRPr="00401057" w:rsidRDefault="00AB3CE0" w:rsidP="00401057">
            <w:pPr>
              <w:pStyle w:val="JuPara"/>
              <w:keepNext/>
              <w:keepLines/>
              <w:ind w:firstLine="0"/>
            </w:pPr>
            <w:r w:rsidRPr="00401057">
              <w:t>17 000 EUR</w:t>
            </w:r>
          </w:p>
        </w:tc>
      </w:tr>
      <w:tr w:rsidR="00AB3CE0" w:rsidRPr="00401057" w14:paraId="7DAD591A" w14:textId="77777777" w:rsidTr="0038306D">
        <w:tc>
          <w:tcPr>
            <w:tcW w:w="567" w:type="dxa"/>
          </w:tcPr>
          <w:p w14:paraId="03376B1E" w14:textId="77777777" w:rsidR="00AB3CE0" w:rsidRPr="00401057" w:rsidRDefault="00AB3CE0" w:rsidP="00401057">
            <w:pPr>
              <w:pStyle w:val="JuPara"/>
              <w:keepNext/>
              <w:keepLines/>
              <w:ind w:firstLine="0"/>
            </w:pPr>
          </w:p>
          <w:p w14:paraId="001506BD" w14:textId="77777777" w:rsidR="00AB3CE0" w:rsidRPr="00401057" w:rsidRDefault="00AB3CE0" w:rsidP="00401057">
            <w:pPr>
              <w:pStyle w:val="JuPara"/>
              <w:keepNext/>
              <w:keepLines/>
              <w:ind w:firstLine="0"/>
              <w:rPr>
                <w:lang w:val="pt-PT"/>
              </w:rPr>
            </w:pPr>
            <w:r w:rsidRPr="00401057">
              <w:rPr>
                <w:lang w:val="pt-PT"/>
              </w:rPr>
              <w:t>5.</w:t>
            </w:r>
          </w:p>
        </w:tc>
        <w:tc>
          <w:tcPr>
            <w:tcW w:w="2680" w:type="dxa"/>
          </w:tcPr>
          <w:p w14:paraId="41B033EA" w14:textId="77777777" w:rsidR="00AB3CE0" w:rsidRPr="00401057" w:rsidRDefault="00AB3CE0" w:rsidP="00401057">
            <w:pPr>
              <w:pStyle w:val="JuPara"/>
              <w:keepNext/>
              <w:keepLines/>
              <w:ind w:firstLine="0"/>
            </w:pPr>
          </w:p>
          <w:p w14:paraId="1FC46BC6" w14:textId="77777777" w:rsidR="00AB3CE0" w:rsidRPr="00401057" w:rsidRDefault="00AB3CE0" w:rsidP="00401057">
            <w:pPr>
              <w:pStyle w:val="JuPara"/>
              <w:keepNext/>
              <w:keepLines/>
              <w:ind w:firstLine="0"/>
            </w:pPr>
            <w:bookmarkStart w:id="29" w:name="_Hlk94880147"/>
            <w:r w:rsidRPr="00401057">
              <w:t>21564/15</w:t>
            </w:r>
            <w:bookmarkEnd w:id="29"/>
          </w:p>
        </w:tc>
        <w:tc>
          <w:tcPr>
            <w:tcW w:w="3727" w:type="dxa"/>
          </w:tcPr>
          <w:p w14:paraId="4D6756AF" w14:textId="77777777" w:rsidR="00AB3CE0" w:rsidRPr="00401057" w:rsidRDefault="00AB3CE0" w:rsidP="00401057">
            <w:pPr>
              <w:pStyle w:val="JuPara"/>
              <w:keepNext/>
              <w:keepLines/>
              <w:ind w:firstLine="0"/>
            </w:pPr>
          </w:p>
          <w:p w14:paraId="1075438E" w14:textId="77777777" w:rsidR="00AB3CE0" w:rsidRPr="00401057" w:rsidRDefault="00AB3CE0" w:rsidP="00401057">
            <w:pPr>
              <w:pStyle w:val="JuPara"/>
              <w:keepNext/>
              <w:keepLines/>
              <w:ind w:firstLine="0"/>
            </w:pPr>
            <w:r w:rsidRPr="00401057">
              <w:t>18 200 EUR</w:t>
            </w:r>
          </w:p>
        </w:tc>
      </w:tr>
    </w:tbl>
    <w:p w14:paraId="7E403553" w14:textId="20A8F7E4" w:rsidR="00AB3CE0" w:rsidRPr="00401057" w:rsidRDefault="00AB3CE0" w:rsidP="00401057">
      <w:pPr>
        <w:pStyle w:val="JuHA"/>
      </w:pPr>
      <w:r w:rsidRPr="00401057">
        <w:t>Frais et dépens</w:t>
      </w:r>
    </w:p>
    <w:p w14:paraId="004AAD2A" w14:textId="10B693A6" w:rsidR="00AB3CE0" w:rsidRPr="00401057" w:rsidRDefault="00AB3CE0" w:rsidP="00401057">
      <w:pPr>
        <w:pStyle w:val="JuPara"/>
      </w:pPr>
      <w:r w:rsidRPr="00401057">
        <w:fldChar w:fldCharType="begin"/>
      </w:r>
      <w:r w:rsidRPr="00401057">
        <w:instrText xml:space="preserve"> SEQ level0 \*arabic </w:instrText>
      </w:r>
      <w:r w:rsidRPr="00401057">
        <w:fldChar w:fldCharType="separate"/>
      </w:r>
      <w:r w:rsidR="00401057" w:rsidRPr="00401057">
        <w:rPr>
          <w:noProof/>
        </w:rPr>
        <w:t>39</w:t>
      </w:r>
      <w:r w:rsidRPr="00401057">
        <w:fldChar w:fldCharType="end"/>
      </w:r>
      <w:r w:rsidRPr="00401057">
        <w:t>.  Les requérants réclament, au titre des frais et dépens qu</w:t>
      </w:r>
      <w:r w:rsidR="00401057" w:rsidRPr="00401057">
        <w:t>’</w:t>
      </w:r>
      <w:r w:rsidRPr="00401057">
        <w:t>ils ont engagés dans le cadre de la procédure menée devant la Cour :</w:t>
      </w:r>
    </w:p>
    <w:p w14:paraId="4BE1C90C" w14:textId="77777777" w:rsidR="00AB3CE0" w:rsidRPr="00401057" w:rsidRDefault="00AB3CE0" w:rsidP="00401057">
      <w:pPr>
        <w:pStyle w:val="JuPara"/>
        <w:numPr>
          <w:ilvl w:val="0"/>
          <w:numId w:val="5"/>
        </w:numPr>
      </w:pPr>
      <w:r w:rsidRPr="00401057">
        <w:t>pour la requête n</w:t>
      </w:r>
      <w:r w:rsidRPr="00401057">
        <w:rPr>
          <w:vertAlign w:val="superscript"/>
        </w:rPr>
        <w:t>o </w:t>
      </w:r>
      <w:r w:rsidRPr="00401057">
        <w:t>15566/13, la somme de 9 920 EUR ;</w:t>
      </w:r>
    </w:p>
    <w:p w14:paraId="2FEAB252" w14:textId="77777777" w:rsidR="00AB3CE0" w:rsidRPr="00401057" w:rsidRDefault="00AB3CE0" w:rsidP="00401057">
      <w:pPr>
        <w:pStyle w:val="JuPara"/>
        <w:numPr>
          <w:ilvl w:val="0"/>
          <w:numId w:val="5"/>
        </w:numPr>
      </w:pPr>
      <w:r w:rsidRPr="00401057">
        <w:t>pour la requête n</w:t>
      </w:r>
      <w:r w:rsidRPr="00401057">
        <w:rPr>
          <w:vertAlign w:val="superscript"/>
        </w:rPr>
        <w:t>o </w:t>
      </w:r>
      <w:r w:rsidRPr="00401057">
        <w:t>17336/14, la somme de 4 000 EUR ;</w:t>
      </w:r>
    </w:p>
    <w:p w14:paraId="59C7B74C" w14:textId="77777777" w:rsidR="00AB3CE0" w:rsidRPr="00401057" w:rsidRDefault="00AB3CE0" w:rsidP="00401057">
      <w:pPr>
        <w:pStyle w:val="JuPara"/>
        <w:numPr>
          <w:ilvl w:val="0"/>
          <w:numId w:val="5"/>
        </w:numPr>
      </w:pPr>
      <w:r w:rsidRPr="00401057">
        <w:t>pour la requête n</w:t>
      </w:r>
      <w:r w:rsidRPr="00401057">
        <w:rPr>
          <w:vertAlign w:val="superscript"/>
        </w:rPr>
        <w:t>o </w:t>
      </w:r>
      <w:r w:rsidRPr="00401057">
        <w:t>21564/15, la somme de 3 500 EUR.</w:t>
      </w:r>
    </w:p>
    <w:p w14:paraId="5DCFD1B3" w14:textId="259CF8A3" w:rsidR="00AB3CE0" w:rsidRPr="00401057" w:rsidRDefault="00AB3CE0" w:rsidP="00401057">
      <w:pPr>
        <w:pStyle w:val="JuPara"/>
      </w:pPr>
      <w:r w:rsidRPr="00401057">
        <w:t>Les requérants ayant introduit les requêtes n</w:t>
      </w:r>
      <w:r w:rsidRPr="00401057">
        <w:rPr>
          <w:vertAlign w:val="superscript"/>
        </w:rPr>
        <w:t>o </w:t>
      </w:r>
      <w:r w:rsidRPr="00401057">
        <w:t>4030/14 et n</w:t>
      </w:r>
      <w:r w:rsidRPr="00401057">
        <w:rPr>
          <w:vertAlign w:val="superscript"/>
        </w:rPr>
        <w:t>o </w:t>
      </w:r>
      <w:r w:rsidRPr="00401057">
        <w:t>10767/15 s</w:t>
      </w:r>
      <w:r w:rsidR="00401057" w:rsidRPr="00401057">
        <w:t>’</w:t>
      </w:r>
      <w:r w:rsidRPr="00401057">
        <w:t>en remettent à la sagesse de la Cour.</w:t>
      </w:r>
    </w:p>
    <w:p w14:paraId="08AC99DF" w14:textId="5EA0E6CB" w:rsidR="00AB3CE0" w:rsidRPr="00401057" w:rsidRDefault="00AB3CE0" w:rsidP="00401057">
      <w:pPr>
        <w:pStyle w:val="JuPara"/>
      </w:pPr>
      <w:r w:rsidRPr="00401057">
        <w:fldChar w:fldCharType="begin"/>
      </w:r>
      <w:r w:rsidRPr="00401057">
        <w:instrText xml:space="preserve"> SEQ level0 \*arabic </w:instrText>
      </w:r>
      <w:r w:rsidRPr="00401057">
        <w:fldChar w:fldCharType="separate"/>
      </w:r>
      <w:r w:rsidR="00401057" w:rsidRPr="00401057">
        <w:rPr>
          <w:noProof/>
        </w:rPr>
        <w:t>40</w:t>
      </w:r>
      <w:r w:rsidRPr="00401057">
        <w:fldChar w:fldCharType="end"/>
      </w:r>
      <w:r w:rsidRPr="00401057">
        <w:t>.  Le Gouvernement conteste ces prétentions.</w:t>
      </w:r>
    </w:p>
    <w:p w14:paraId="6097AB52" w14:textId="1DA7507B" w:rsidR="00AB3CE0" w:rsidRPr="00401057" w:rsidRDefault="00AB3CE0" w:rsidP="00401057">
      <w:pPr>
        <w:pStyle w:val="JuPara"/>
      </w:pPr>
      <w:r w:rsidRPr="00401057">
        <w:fldChar w:fldCharType="begin"/>
      </w:r>
      <w:r w:rsidRPr="00401057">
        <w:instrText xml:space="preserve"> SEQ level0 \*arabic </w:instrText>
      </w:r>
      <w:r w:rsidRPr="00401057">
        <w:fldChar w:fldCharType="separate"/>
      </w:r>
      <w:r w:rsidR="00401057" w:rsidRPr="00401057">
        <w:rPr>
          <w:noProof/>
        </w:rPr>
        <w:t>41</w:t>
      </w:r>
      <w:r w:rsidRPr="00401057">
        <w:fldChar w:fldCharType="end"/>
      </w:r>
      <w:r w:rsidRPr="00401057">
        <w:t>.  Selon la jurisprudence de la Cour, un requérant ne peut obtenir le remboursement de ses frais et dépens que dans la mesure où se trouvent établis leur réalité, leur nécessité et le caractère raisonnable de leur taux. En l</w:t>
      </w:r>
      <w:r w:rsidR="00401057" w:rsidRPr="00401057">
        <w:t>’</w:t>
      </w:r>
      <w:r w:rsidRPr="00401057">
        <w:t>espèce, compte tenu des documents en sa possession et des critères susmentionnés, la Cour accueille la demande présentée au titre des frais et dépens dans la requête n</w:t>
      </w:r>
      <w:r w:rsidRPr="00401057">
        <w:rPr>
          <w:vertAlign w:val="superscript"/>
        </w:rPr>
        <w:t>o</w:t>
      </w:r>
      <w:r w:rsidRPr="00401057">
        <w:t> 15566/13 et rejette les autres demandes. Pour celle</w:t>
      </w:r>
      <w:r w:rsidR="0038306D" w:rsidRPr="00401057">
        <w:noBreakHyphen/>
      </w:r>
      <w:r w:rsidRPr="00401057">
        <w:t>ci, vu les pièces fournies, la Cour juge raisonnable d</w:t>
      </w:r>
      <w:r w:rsidR="00401057" w:rsidRPr="00401057">
        <w:t>’</w:t>
      </w:r>
      <w:r w:rsidRPr="00401057">
        <w:t>allouer au requérant la somme de 3 000 EUR pour la procédure menée devant elle, plus tout montant pouvant être dû à titre d</w:t>
      </w:r>
      <w:r w:rsidR="00401057" w:rsidRPr="00401057">
        <w:t>’</w:t>
      </w:r>
      <w:r w:rsidRPr="00401057">
        <w:t>impôt sur cette somme.</w:t>
      </w:r>
    </w:p>
    <w:p w14:paraId="3594422E" w14:textId="77777777" w:rsidR="00AB3CE0" w:rsidRPr="00401057" w:rsidRDefault="00AB3CE0" w:rsidP="00401057">
      <w:pPr>
        <w:pStyle w:val="JuHA"/>
      </w:pPr>
      <w:r w:rsidRPr="00401057">
        <w:t>Intérêts moratoires</w:t>
      </w:r>
    </w:p>
    <w:p w14:paraId="13BBACF0" w14:textId="16D2D2EB" w:rsidR="00AB3CE0" w:rsidRPr="00401057" w:rsidRDefault="00AB3CE0" w:rsidP="00401057">
      <w:pPr>
        <w:pStyle w:val="JuPara"/>
      </w:pPr>
      <w:r w:rsidRPr="00401057">
        <w:fldChar w:fldCharType="begin"/>
      </w:r>
      <w:r w:rsidRPr="00401057">
        <w:instrText xml:space="preserve"> SEQ level0 \*arabic </w:instrText>
      </w:r>
      <w:r w:rsidRPr="00401057">
        <w:fldChar w:fldCharType="separate"/>
      </w:r>
      <w:r w:rsidR="00401057" w:rsidRPr="00401057">
        <w:rPr>
          <w:noProof/>
        </w:rPr>
        <w:t>42</w:t>
      </w:r>
      <w:r w:rsidRPr="00401057">
        <w:fldChar w:fldCharType="end"/>
      </w:r>
      <w:r w:rsidRPr="00401057">
        <w:t>.  La Cour juge approprié de calquer le taux des intérêts moratoires sur le taux d</w:t>
      </w:r>
      <w:r w:rsidR="00401057" w:rsidRPr="00401057">
        <w:t>’</w:t>
      </w:r>
      <w:r w:rsidRPr="00401057">
        <w:t>intérêt de la facilité de prêt marginal de la Banque centrale européenne majoré de trois points de pourcentage.</w:t>
      </w:r>
    </w:p>
    <w:p w14:paraId="21E63EF1" w14:textId="5746D5FA" w:rsidR="00AB3CE0" w:rsidRPr="00401057" w:rsidRDefault="00AB3CE0" w:rsidP="00401057">
      <w:pPr>
        <w:pStyle w:val="JuHHead"/>
        <w:numPr>
          <w:ilvl w:val="0"/>
          <w:numId w:val="2"/>
        </w:numPr>
        <w:ind w:left="360" w:hanging="360"/>
      </w:pPr>
      <w:r w:rsidRPr="00401057">
        <w:t xml:space="preserve">PAR CES MOTIFS, LA COUR, </w:t>
      </w:r>
      <w:r w:rsidRPr="00401057">
        <w:rPr>
          <w:caps w:val="0"/>
        </w:rPr>
        <w:t>À L</w:t>
      </w:r>
      <w:r w:rsidR="00401057" w:rsidRPr="00401057">
        <w:rPr>
          <w:caps w:val="0"/>
        </w:rPr>
        <w:t>’</w:t>
      </w:r>
      <w:r w:rsidRPr="00401057">
        <w:rPr>
          <w:caps w:val="0"/>
        </w:rPr>
        <w:t>UNANIMITÉ</w:t>
      </w:r>
      <w:r w:rsidRPr="00401057">
        <w:t>,</w:t>
      </w:r>
    </w:p>
    <w:p w14:paraId="19096F88" w14:textId="0D3A9A48" w:rsidR="00AB3CE0" w:rsidRPr="00401057" w:rsidRDefault="00AB3CE0" w:rsidP="00401057">
      <w:pPr>
        <w:pStyle w:val="JuList"/>
        <w:keepNext/>
        <w:keepLines/>
        <w:numPr>
          <w:ilvl w:val="0"/>
          <w:numId w:val="1"/>
        </w:numPr>
      </w:pPr>
      <w:r w:rsidRPr="00401057">
        <w:rPr>
          <w:i/>
        </w:rPr>
        <w:t xml:space="preserve">Décide </w:t>
      </w:r>
      <w:r w:rsidRPr="00401057">
        <w:t>de joindre les requêtes ;</w:t>
      </w:r>
    </w:p>
    <w:p w14:paraId="1A086EEE" w14:textId="76DF639F" w:rsidR="00AB3CE0" w:rsidRPr="00401057" w:rsidRDefault="00AB3CE0" w:rsidP="00401057">
      <w:pPr>
        <w:pStyle w:val="JuList"/>
        <w:keepNext/>
        <w:keepLines/>
        <w:numPr>
          <w:ilvl w:val="0"/>
          <w:numId w:val="1"/>
        </w:numPr>
      </w:pPr>
      <w:r w:rsidRPr="00401057">
        <w:rPr>
          <w:i/>
          <w:iCs/>
        </w:rPr>
        <w:t>Joint</w:t>
      </w:r>
      <w:r w:rsidRPr="00401057">
        <w:t xml:space="preserve"> </w:t>
      </w:r>
      <w:r w:rsidRPr="00401057">
        <w:rPr>
          <w:i/>
          <w:iCs/>
        </w:rPr>
        <w:t>au fond</w:t>
      </w:r>
      <w:r w:rsidRPr="00401057">
        <w:t xml:space="preserve"> du grief tiré de l</w:t>
      </w:r>
      <w:r w:rsidR="00401057" w:rsidRPr="00401057">
        <w:t>’</w:t>
      </w:r>
      <w:r w:rsidRPr="00401057">
        <w:t>article 13 de la Convention l</w:t>
      </w:r>
      <w:r w:rsidR="00401057" w:rsidRPr="00401057">
        <w:t>’</w:t>
      </w:r>
      <w:r w:rsidRPr="00401057">
        <w:t>exception du Gouvernement tirée du non-épuisement des voies de recours interne et la</w:t>
      </w:r>
      <w:r w:rsidRPr="00401057">
        <w:rPr>
          <w:i/>
          <w:iCs/>
        </w:rPr>
        <w:t xml:space="preserve"> rejette</w:t>
      </w:r>
      <w:r w:rsidRPr="00401057">
        <w:t> ;</w:t>
      </w:r>
    </w:p>
    <w:p w14:paraId="50944E9E" w14:textId="7CCAE1B1" w:rsidR="00AB3CE0" w:rsidRPr="00401057" w:rsidRDefault="00AB3CE0" w:rsidP="00401057">
      <w:pPr>
        <w:pStyle w:val="JuList"/>
        <w:keepNext/>
        <w:keepLines/>
        <w:numPr>
          <w:ilvl w:val="0"/>
          <w:numId w:val="1"/>
        </w:numPr>
      </w:pPr>
      <w:r w:rsidRPr="00401057">
        <w:rPr>
          <w:i/>
        </w:rPr>
        <w:t>Déclare</w:t>
      </w:r>
      <w:r w:rsidRPr="00401057">
        <w:t xml:space="preserve"> les requêtes recevables ;</w:t>
      </w:r>
    </w:p>
    <w:p w14:paraId="6498D90A" w14:textId="03E5CF26" w:rsidR="00AB3CE0" w:rsidRPr="00401057" w:rsidRDefault="00AB3CE0" w:rsidP="00401057">
      <w:pPr>
        <w:pStyle w:val="JuList"/>
        <w:keepNext/>
        <w:keepLines/>
        <w:numPr>
          <w:ilvl w:val="0"/>
          <w:numId w:val="1"/>
        </w:numPr>
      </w:pPr>
      <w:r w:rsidRPr="00401057">
        <w:rPr>
          <w:i/>
        </w:rPr>
        <w:t>Dit</w:t>
      </w:r>
      <w:r w:rsidR="0038306D" w:rsidRPr="00401057">
        <w:t xml:space="preserve"> </w:t>
      </w:r>
      <w:r w:rsidRPr="00401057">
        <w:t>qu</w:t>
      </w:r>
      <w:r w:rsidR="00401057" w:rsidRPr="00401057">
        <w:t>’</w:t>
      </w:r>
      <w:r w:rsidRPr="00401057">
        <w:t>il y a eu violation de l</w:t>
      </w:r>
      <w:r w:rsidR="00401057" w:rsidRPr="00401057">
        <w:t>’</w:t>
      </w:r>
      <w:r w:rsidRPr="00401057">
        <w:t>article 13 de la Convention ;</w:t>
      </w:r>
    </w:p>
    <w:p w14:paraId="56CB4613" w14:textId="4CEC28CE" w:rsidR="00AB3CE0" w:rsidRPr="00401057" w:rsidRDefault="00AB3CE0" w:rsidP="00401057">
      <w:pPr>
        <w:pStyle w:val="JuList"/>
        <w:keepNext/>
        <w:keepLines/>
        <w:numPr>
          <w:ilvl w:val="0"/>
          <w:numId w:val="1"/>
        </w:numPr>
      </w:pPr>
      <w:r w:rsidRPr="00401057">
        <w:rPr>
          <w:i/>
        </w:rPr>
        <w:t>Dit</w:t>
      </w:r>
      <w:r w:rsidRPr="00401057">
        <w:t xml:space="preserve"> qu</w:t>
      </w:r>
      <w:r w:rsidR="00401057" w:rsidRPr="00401057">
        <w:t>’</w:t>
      </w:r>
      <w:r w:rsidRPr="00401057">
        <w:t>il y a eu violation de l</w:t>
      </w:r>
      <w:r w:rsidR="00401057" w:rsidRPr="00401057">
        <w:t>’</w:t>
      </w:r>
      <w:r w:rsidRPr="00401057">
        <w:t>article 6 § 1 de la Convention ;</w:t>
      </w:r>
    </w:p>
    <w:p w14:paraId="4F4C20E4" w14:textId="56B3D601" w:rsidR="00AB3CE0" w:rsidRPr="00401057" w:rsidRDefault="00AB3CE0" w:rsidP="00401057">
      <w:pPr>
        <w:pStyle w:val="JuList"/>
        <w:keepNext/>
        <w:keepLines/>
        <w:numPr>
          <w:ilvl w:val="0"/>
          <w:numId w:val="1"/>
        </w:numPr>
      </w:pPr>
      <w:bookmarkStart w:id="30" w:name="_Hlk94879711"/>
      <w:r w:rsidRPr="00401057">
        <w:rPr>
          <w:i/>
        </w:rPr>
        <w:t>Dit</w:t>
      </w:r>
      <w:r w:rsidRPr="00401057">
        <w:t xml:space="preserve"> que l</w:t>
      </w:r>
      <w:r w:rsidR="00401057" w:rsidRPr="00401057">
        <w:t>’</w:t>
      </w:r>
      <w:r w:rsidRPr="00401057">
        <w:t>État défendeur doit verser aux requérants, dans un délai de trois mois à compter de la date à laquelle l</w:t>
      </w:r>
      <w:r w:rsidR="00401057" w:rsidRPr="00401057">
        <w:t>’</w:t>
      </w:r>
      <w:r w:rsidRPr="00401057">
        <w:t>arrêt sera devenu définitif conformément à l</w:t>
      </w:r>
      <w:r w:rsidR="00401057" w:rsidRPr="00401057">
        <w:t>’</w:t>
      </w:r>
      <w:r w:rsidRPr="00401057">
        <w:t>article 44 § 2 de la Convention :</w:t>
      </w:r>
    </w:p>
    <w:p w14:paraId="3696AA70" w14:textId="77777777" w:rsidR="00AB3CE0" w:rsidRPr="00401057" w:rsidRDefault="00AB3CE0" w:rsidP="00401057">
      <w:pPr>
        <w:pStyle w:val="JuLista"/>
        <w:keepNext/>
        <w:keepLines/>
        <w:numPr>
          <w:ilvl w:val="1"/>
          <w:numId w:val="1"/>
        </w:numPr>
      </w:pPr>
      <w:r w:rsidRPr="00401057">
        <w:t>les sommes suivantes,</w:t>
      </w:r>
      <w:r w:rsidRPr="00401057">
        <w:rPr>
          <w:b/>
        </w:rPr>
        <w:t xml:space="preserve"> </w:t>
      </w:r>
      <w:r w:rsidRPr="00401057">
        <w:rPr>
          <w:bCs/>
        </w:rPr>
        <w:t>au titre du dommage moral</w:t>
      </w:r>
      <w:r w:rsidRPr="00401057">
        <w:t> :</w:t>
      </w:r>
    </w:p>
    <w:p w14:paraId="4D155BD6" w14:textId="77777777" w:rsidR="00AB3CE0" w:rsidRPr="00401057" w:rsidRDefault="00AB3CE0" w:rsidP="00401057">
      <w:pPr>
        <w:pStyle w:val="JuListi"/>
        <w:keepNext/>
        <w:keepLines/>
        <w:numPr>
          <w:ilvl w:val="2"/>
          <w:numId w:val="1"/>
        </w:numPr>
      </w:pPr>
      <w:r w:rsidRPr="00401057">
        <w:t>requête n</w:t>
      </w:r>
      <w:r w:rsidRPr="00401057">
        <w:rPr>
          <w:vertAlign w:val="superscript"/>
        </w:rPr>
        <w:t>o</w:t>
      </w:r>
      <w:r w:rsidRPr="00401057">
        <w:t xml:space="preserve"> 15566/13 : 22 000 EUR (vingt-deux mille euros),</w:t>
      </w:r>
    </w:p>
    <w:p w14:paraId="4770EFB7" w14:textId="0A2BABF5" w:rsidR="00AB3CE0" w:rsidRPr="00401057" w:rsidRDefault="00EF38CA" w:rsidP="00401057">
      <w:pPr>
        <w:pStyle w:val="JuListi"/>
        <w:keepNext/>
        <w:keepLines/>
        <w:numPr>
          <w:ilvl w:val="2"/>
          <w:numId w:val="1"/>
        </w:numPr>
        <w:rPr>
          <w:lang w:val="pt-PT"/>
        </w:rPr>
      </w:pPr>
      <w:r w:rsidRPr="00401057">
        <w:t>requête</w:t>
      </w:r>
      <w:r w:rsidR="00AB3CE0" w:rsidRPr="00401057">
        <w:rPr>
          <w:lang w:val="pt-PT"/>
        </w:rPr>
        <w:t xml:space="preserve"> n</w:t>
      </w:r>
      <w:r w:rsidR="00AB3CE0" w:rsidRPr="00401057">
        <w:rPr>
          <w:vertAlign w:val="superscript"/>
          <w:lang w:val="pt-PT"/>
        </w:rPr>
        <w:t>o</w:t>
      </w:r>
      <w:r w:rsidR="00AB3CE0" w:rsidRPr="00401057">
        <w:rPr>
          <w:lang w:val="pt-PT"/>
        </w:rPr>
        <w:t xml:space="preserve"> 4030/14 : 11 000 EUR (onze </w:t>
      </w:r>
      <w:r w:rsidR="00AB3CE0" w:rsidRPr="00401057">
        <w:t>mille</w:t>
      </w:r>
      <w:r w:rsidR="00AB3CE0" w:rsidRPr="00401057">
        <w:rPr>
          <w:lang w:val="pt-PT"/>
        </w:rPr>
        <w:t xml:space="preserve"> euros),</w:t>
      </w:r>
    </w:p>
    <w:p w14:paraId="52A92A8D" w14:textId="77777777" w:rsidR="00AB3CE0" w:rsidRPr="00401057" w:rsidRDefault="00AB3CE0" w:rsidP="00401057">
      <w:pPr>
        <w:pStyle w:val="JuListi"/>
        <w:keepNext/>
        <w:keepLines/>
        <w:numPr>
          <w:ilvl w:val="2"/>
          <w:numId w:val="1"/>
        </w:numPr>
      </w:pPr>
      <w:r w:rsidRPr="00401057">
        <w:t>requête n</w:t>
      </w:r>
      <w:r w:rsidRPr="00401057">
        <w:rPr>
          <w:vertAlign w:val="superscript"/>
        </w:rPr>
        <w:t>o</w:t>
      </w:r>
      <w:r w:rsidRPr="00401057">
        <w:t xml:space="preserve"> 177336/14 : 20 000 EUR (vingt mille euros),</w:t>
      </w:r>
    </w:p>
    <w:p w14:paraId="3ED252B7" w14:textId="77777777" w:rsidR="00AB3CE0" w:rsidRPr="00401057" w:rsidRDefault="00AB3CE0" w:rsidP="00401057">
      <w:pPr>
        <w:pStyle w:val="JuListi"/>
        <w:keepNext/>
        <w:keepLines/>
        <w:numPr>
          <w:ilvl w:val="2"/>
          <w:numId w:val="1"/>
        </w:numPr>
      </w:pPr>
      <w:r w:rsidRPr="00401057">
        <w:t>requête n</w:t>
      </w:r>
      <w:r w:rsidRPr="00401057">
        <w:rPr>
          <w:vertAlign w:val="superscript"/>
        </w:rPr>
        <w:t>o</w:t>
      </w:r>
      <w:r w:rsidRPr="00401057">
        <w:t xml:space="preserve"> 10767/15 : 17 000 EUR (dix-sept mille euros),</w:t>
      </w:r>
    </w:p>
    <w:p w14:paraId="25BC1B1C" w14:textId="77777777" w:rsidR="00AB3CE0" w:rsidRPr="00401057" w:rsidRDefault="00AB3CE0" w:rsidP="00401057">
      <w:pPr>
        <w:pStyle w:val="JuListi"/>
        <w:keepNext/>
        <w:keepLines/>
        <w:numPr>
          <w:ilvl w:val="2"/>
          <w:numId w:val="1"/>
        </w:numPr>
      </w:pPr>
      <w:r w:rsidRPr="00401057">
        <w:t>requête n</w:t>
      </w:r>
      <w:r w:rsidRPr="00401057">
        <w:rPr>
          <w:vertAlign w:val="superscript"/>
        </w:rPr>
        <w:t>o</w:t>
      </w:r>
      <w:r w:rsidRPr="00401057">
        <w:t xml:space="preserve"> 21564/15 : 18 200 EUR (dix-huit mille deux cents euros) ;</w:t>
      </w:r>
    </w:p>
    <w:p w14:paraId="3C68D8D7" w14:textId="77777777" w:rsidR="00AB3CE0" w:rsidRPr="00401057" w:rsidRDefault="00AB3CE0" w:rsidP="00401057">
      <w:pPr>
        <w:pStyle w:val="JuLista"/>
        <w:keepNext/>
        <w:keepLines/>
        <w:numPr>
          <w:ilvl w:val="1"/>
          <w:numId w:val="1"/>
        </w:numPr>
      </w:pPr>
      <w:r w:rsidRPr="00401057">
        <w:t>3 000 EUR (trois mille euros) pour les frais et dépens de la requête n</w:t>
      </w:r>
      <w:r w:rsidRPr="00401057">
        <w:rPr>
          <w:vertAlign w:val="superscript"/>
        </w:rPr>
        <w:t>o</w:t>
      </w:r>
      <w:r w:rsidRPr="00401057">
        <w:t> 15566/13 ;</w:t>
      </w:r>
    </w:p>
    <w:p w14:paraId="1D537784" w14:textId="6DB7A648" w:rsidR="00AB3CE0" w:rsidRPr="00401057" w:rsidRDefault="00AB3CE0" w:rsidP="00401057">
      <w:pPr>
        <w:pStyle w:val="JuLista"/>
        <w:keepNext/>
        <w:keepLines/>
        <w:numPr>
          <w:ilvl w:val="0"/>
          <w:numId w:val="0"/>
        </w:numPr>
        <w:spacing w:before="60"/>
        <w:ind w:left="340"/>
      </w:pPr>
      <w:r w:rsidRPr="00401057">
        <w:t>et qu</w:t>
      </w:r>
      <w:r w:rsidR="00401057" w:rsidRPr="00401057">
        <w:t>’</w:t>
      </w:r>
      <w:r w:rsidRPr="00401057">
        <w:t>à compter de l</w:t>
      </w:r>
      <w:r w:rsidR="00401057" w:rsidRPr="00401057">
        <w:t>’</w:t>
      </w:r>
      <w:r w:rsidRPr="00401057">
        <w:t>expiration dudit délai et jusqu</w:t>
      </w:r>
      <w:r w:rsidR="00401057" w:rsidRPr="00401057">
        <w:t>’</w:t>
      </w:r>
      <w:r w:rsidRPr="00401057">
        <w:t>au versement, ces montants seront à majorer d</w:t>
      </w:r>
      <w:r w:rsidR="00401057" w:rsidRPr="00401057">
        <w:t>’</w:t>
      </w:r>
      <w:r w:rsidRPr="00401057">
        <w:t>un intérêt simple à un taux égal à celui de la facilité de prêt marginal de la Banque centrale européenne applicable pendant cette période, augmenté de trois points de pourcentage ;</w:t>
      </w:r>
    </w:p>
    <w:bookmarkEnd w:id="30"/>
    <w:p w14:paraId="261CBA67" w14:textId="7F1C96E3" w:rsidR="00876F03" w:rsidRPr="00401057" w:rsidRDefault="00AB3CE0" w:rsidP="00401057">
      <w:pPr>
        <w:pStyle w:val="JuList"/>
      </w:pPr>
      <w:r w:rsidRPr="00401057">
        <w:rPr>
          <w:i/>
        </w:rPr>
        <w:t>Rejette</w:t>
      </w:r>
      <w:r w:rsidRPr="00401057">
        <w:t xml:space="preserve"> le surplus de la demande de satisfaction équitable.</w:t>
      </w:r>
    </w:p>
    <w:p w14:paraId="3727C4C8" w14:textId="5C63EE0D" w:rsidR="00893F30" w:rsidRPr="00401057" w:rsidRDefault="00893F30" w:rsidP="00401057">
      <w:pPr>
        <w:pStyle w:val="JuParaLast"/>
      </w:pPr>
      <w:r w:rsidRPr="00401057">
        <w:t xml:space="preserve">Fait en français, puis communiqué par écrit le </w:t>
      </w:r>
      <w:r w:rsidR="00AB3CE0" w:rsidRPr="00401057">
        <w:t>28 avril 2022</w:t>
      </w:r>
      <w:r w:rsidRPr="00401057">
        <w:t>, en application de l</w:t>
      </w:r>
      <w:r w:rsidR="00401057" w:rsidRPr="00401057">
        <w:t>’</w:t>
      </w:r>
      <w:r w:rsidRPr="00401057">
        <w:t>article 77 §§ 2 et 3 du règlement.</w:t>
      </w:r>
    </w:p>
    <w:p w14:paraId="0BB4EB73" w14:textId="50A8F7BF" w:rsidR="00F94531" w:rsidRPr="00401057" w:rsidRDefault="00510D77" w:rsidP="00401057">
      <w:pPr>
        <w:pStyle w:val="JuSigned"/>
        <w:keepNext/>
        <w:keepLines/>
        <w:rPr>
          <w:color w:val="F8F8F8" w:themeColor="background2"/>
        </w:rPr>
      </w:pPr>
      <w:r w:rsidRPr="00401057">
        <w:rPr>
          <w:color w:val="F8F8F8" w:themeColor="background2"/>
        </w:rPr>
        <w:tab/>
      </w:r>
    </w:p>
    <w:p w14:paraId="7570284D" w14:textId="77777777" w:rsidR="00AB3CE0" w:rsidRPr="00401057" w:rsidRDefault="00AB3CE0" w:rsidP="00401057">
      <w:pPr>
        <w:pStyle w:val="JuSigned"/>
        <w:rPr>
          <w:lang w:val="nb-NO"/>
        </w:rPr>
      </w:pPr>
      <w:r w:rsidRPr="00401057">
        <w:tab/>
      </w:r>
      <w:r w:rsidRPr="00401057">
        <w:rPr>
          <w:lang w:val="nb-NO"/>
        </w:rPr>
        <w:t>Renata Degener</w:t>
      </w:r>
      <w:r w:rsidR="004344E6" w:rsidRPr="00401057">
        <w:rPr>
          <w:lang w:val="nb-NO"/>
        </w:rPr>
        <w:tab/>
      </w:r>
      <w:r w:rsidRPr="00401057">
        <w:rPr>
          <w:lang w:val="nb-NO"/>
        </w:rPr>
        <w:t>Marko Bošnjak</w:t>
      </w:r>
      <w:r w:rsidR="004344E6" w:rsidRPr="00401057">
        <w:rPr>
          <w:lang w:val="nb-NO"/>
        </w:rPr>
        <w:br/>
      </w:r>
      <w:r w:rsidR="004344E6" w:rsidRPr="00401057">
        <w:rPr>
          <w:lang w:val="nb-NO"/>
        </w:rPr>
        <w:tab/>
      </w:r>
      <w:r w:rsidRPr="00401057">
        <w:rPr>
          <w:lang w:val="nb-NO"/>
        </w:rPr>
        <w:t>Greffière</w:t>
      </w:r>
      <w:r w:rsidR="004344E6" w:rsidRPr="00401057">
        <w:rPr>
          <w:lang w:val="nb-NO"/>
        </w:rPr>
        <w:tab/>
      </w:r>
      <w:r w:rsidRPr="00401057">
        <w:rPr>
          <w:lang w:val="nb-NO"/>
        </w:rPr>
        <w:t>Président</w:t>
      </w:r>
    </w:p>
    <w:p w14:paraId="446F98D8" w14:textId="041D5C72" w:rsidR="007F07FB" w:rsidRPr="00401057" w:rsidRDefault="007F07FB" w:rsidP="00401057">
      <w:pPr>
        <w:pStyle w:val="JuPara"/>
        <w:rPr>
          <w:lang w:val="nb-NO"/>
        </w:rPr>
        <w:sectPr w:rsidR="007F07FB" w:rsidRPr="00401057" w:rsidSect="00F912E4">
          <w:headerReference w:type="even" r:id="rId16"/>
          <w:headerReference w:type="default" r:id="rId17"/>
          <w:footerReference w:type="even" r:id="rId18"/>
          <w:footerReference w:type="default" r:id="rId19"/>
          <w:footnotePr>
            <w:numRestart w:val="eachSect"/>
          </w:footnotePr>
          <w:pgSz w:w="11906" w:h="16838" w:code="9"/>
          <w:pgMar w:top="2274" w:right="2274" w:bottom="2274" w:left="2274" w:header="1701" w:footer="720" w:gutter="0"/>
          <w:pgNumType w:start="1"/>
          <w:cols w:space="720"/>
          <w:noEndnote/>
          <w:docGrid w:linePitch="326"/>
        </w:sectPr>
      </w:pPr>
    </w:p>
    <w:p w14:paraId="334ED88B" w14:textId="396039C8" w:rsidR="00430380" w:rsidRPr="00401057" w:rsidRDefault="00430380" w:rsidP="00401057">
      <w:pPr>
        <w:pStyle w:val="DecHTitle"/>
        <w:rPr>
          <w:caps/>
        </w:rPr>
      </w:pPr>
      <w:r w:rsidRPr="00401057">
        <w:t>ANNEXE</w:t>
      </w:r>
    </w:p>
    <w:tbl>
      <w:tblPr>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4"/>
        <w:gridCol w:w="2552"/>
        <w:gridCol w:w="5814"/>
        <w:gridCol w:w="2406"/>
      </w:tblGrid>
      <w:tr w:rsidR="00630A01" w:rsidRPr="00401057" w14:paraId="43729EB2" w14:textId="77777777" w:rsidTr="00630A01">
        <w:tc>
          <w:tcPr>
            <w:tcW w:w="868" w:type="pct"/>
            <w:vMerge w:val="restart"/>
            <w:shd w:val="clear" w:color="auto" w:fill="auto"/>
            <w:vAlign w:val="center"/>
          </w:tcPr>
          <w:p w14:paraId="72D6098F" w14:textId="77777777" w:rsidR="00430380" w:rsidRPr="00401057" w:rsidRDefault="00430380" w:rsidP="00401057">
            <w:pPr>
              <w:pStyle w:val="JuPara"/>
              <w:ind w:firstLine="0"/>
              <w:jc w:val="center"/>
              <w:rPr>
                <w:b/>
              </w:rPr>
            </w:pPr>
          </w:p>
          <w:p w14:paraId="1839B494" w14:textId="04E520C4" w:rsidR="00430380" w:rsidRPr="00401057" w:rsidRDefault="00430380" w:rsidP="00401057">
            <w:pPr>
              <w:pStyle w:val="JuPara"/>
              <w:ind w:firstLine="0"/>
              <w:jc w:val="center"/>
              <w:rPr>
                <w:b/>
              </w:rPr>
            </w:pPr>
            <w:r w:rsidRPr="00401057">
              <w:rPr>
                <w:b/>
              </w:rPr>
              <w:t>Numéro et nom de la requête/date d</w:t>
            </w:r>
            <w:r w:rsidR="00401057" w:rsidRPr="00401057">
              <w:rPr>
                <w:b/>
              </w:rPr>
              <w:t>’</w:t>
            </w:r>
            <w:r w:rsidRPr="00401057">
              <w:rPr>
                <w:b/>
              </w:rPr>
              <w:t>introduction - détails du/des requérant/s</w:t>
            </w:r>
          </w:p>
          <w:p w14:paraId="78D14E88" w14:textId="77777777" w:rsidR="00430380" w:rsidRPr="00401057" w:rsidRDefault="00430380" w:rsidP="00401057">
            <w:pPr>
              <w:pStyle w:val="JuPara"/>
              <w:ind w:firstLine="0"/>
              <w:jc w:val="center"/>
              <w:rPr>
                <w:b/>
              </w:rPr>
            </w:pPr>
          </w:p>
        </w:tc>
        <w:tc>
          <w:tcPr>
            <w:tcW w:w="3209" w:type="pct"/>
            <w:gridSpan w:val="2"/>
            <w:shd w:val="clear" w:color="auto" w:fill="auto"/>
            <w:vAlign w:val="center"/>
          </w:tcPr>
          <w:p w14:paraId="10BE9D29" w14:textId="77777777" w:rsidR="00430380" w:rsidRPr="00401057" w:rsidRDefault="00430380" w:rsidP="00401057">
            <w:pPr>
              <w:pStyle w:val="JuPara"/>
              <w:ind w:firstLine="0"/>
              <w:jc w:val="center"/>
              <w:rPr>
                <w:b/>
              </w:rPr>
            </w:pPr>
            <w:r w:rsidRPr="00401057">
              <w:rPr>
                <w:b/>
              </w:rPr>
              <w:t>Informations sur la procédure</w:t>
            </w:r>
          </w:p>
        </w:tc>
        <w:tc>
          <w:tcPr>
            <w:tcW w:w="923" w:type="pct"/>
            <w:shd w:val="clear" w:color="auto" w:fill="auto"/>
          </w:tcPr>
          <w:p w14:paraId="7B9FFB24" w14:textId="77777777" w:rsidR="00430380" w:rsidRPr="00401057" w:rsidRDefault="00430380" w:rsidP="00401057"/>
        </w:tc>
      </w:tr>
      <w:tr w:rsidR="0050598E" w:rsidRPr="00401057" w14:paraId="21C4F3EF" w14:textId="77777777" w:rsidTr="00630A01">
        <w:tc>
          <w:tcPr>
            <w:tcW w:w="868" w:type="pct"/>
            <w:vMerge/>
            <w:shd w:val="clear" w:color="auto" w:fill="auto"/>
            <w:vAlign w:val="center"/>
          </w:tcPr>
          <w:p w14:paraId="1F3EEE01" w14:textId="77777777" w:rsidR="00430380" w:rsidRPr="00401057" w:rsidRDefault="00430380" w:rsidP="00401057">
            <w:pPr>
              <w:pStyle w:val="JuPara"/>
              <w:ind w:firstLine="0"/>
              <w:jc w:val="center"/>
              <w:rPr>
                <w:b/>
              </w:rPr>
            </w:pPr>
          </w:p>
        </w:tc>
        <w:tc>
          <w:tcPr>
            <w:tcW w:w="979" w:type="pct"/>
            <w:shd w:val="clear" w:color="auto" w:fill="auto"/>
            <w:vAlign w:val="center"/>
          </w:tcPr>
          <w:p w14:paraId="4C3D5FF3" w14:textId="77777777" w:rsidR="00430380" w:rsidRPr="00401057" w:rsidRDefault="00430380" w:rsidP="00401057">
            <w:pPr>
              <w:pStyle w:val="JuPara"/>
              <w:ind w:firstLine="0"/>
              <w:jc w:val="center"/>
              <w:rPr>
                <w:b/>
              </w:rPr>
            </w:pPr>
            <w:r w:rsidRPr="00401057">
              <w:rPr>
                <w:b/>
              </w:rPr>
              <w:t>Durée globale</w:t>
            </w:r>
          </w:p>
        </w:tc>
        <w:tc>
          <w:tcPr>
            <w:tcW w:w="2230" w:type="pct"/>
            <w:shd w:val="clear" w:color="auto" w:fill="auto"/>
            <w:vAlign w:val="center"/>
          </w:tcPr>
          <w:p w14:paraId="6996C0F8" w14:textId="77777777" w:rsidR="00430380" w:rsidRPr="00401057" w:rsidRDefault="00430380" w:rsidP="00401057">
            <w:pPr>
              <w:pStyle w:val="JuPara"/>
              <w:ind w:firstLine="0"/>
              <w:jc w:val="center"/>
              <w:rPr>
                <w:b/>
                <w:lang w:val="pt-PT"/>
              </w:rPr>
            </w:pPr>
            <w:r w:rsidRPr="00401057">
              <w:rPr>
                <w:b/>
                <w:lang w:val="pt-PT"/>
              </w:rPr>
              <w:t>Autorité(s) judiciaire(s)</w:t>
            </w:r>
          </w:p>
          <w:p w14:paraId="5775E62D" w14:textId="77777777" w:rsidR="00430380" w:rsidRPr="00401057" w:rsidRDefault="00430380" w:rsidP="00401057">
            <w:pPr>
              <w:pStyle w:val="JuPara"/>
              <w:ind w:firstLine="0"/>
              <w:jc w:val="center"/>
              <w:rPr>
                <w:b/>
                <w:lang w:val="pt-PT"/>
              </w:rPr>
            </w:pPr>
            <w:r w:rsidRPr="00401057">
              <w:rPr>
                <w:b/>
                <w:lang w:val="pt-PT"/>
              </w:rPr>
              <w:t>(n</w:t>
            </w:r>
            <w:r w:rsidRPr="00401057">
              <w:rPr>
                <w:b/>
                <w:vertAlign w:val="superscript"/>
                <w:lang w:val="pt-PT"/>
              </w:rPr>
              <w:t>o</w:t>
            </w:r>
            <w:r w:rsidRPr="00401057">
              <w:rPr>
                <w:b/>
                <w:lang w:val="pt-PT"/>
              </w:rPr>
              <w:t xml:space="preserve"> R.G.)</w:t>
            </w:r>
          </w:p>
          <w:p w14:paraId="610C1E64" w14:textId="77777777" w:rsidR="00430380" w:rsidRPr="00401057" w:rsidRDefault="00430380" w:rsidP="00401057">
            <w:pPr>
              <w:pStyle w:val="JuPara"/>
              <w:ind w:firstLine="0"/>
              <w:jc w:val="center"/>
              <w:rPr>
                <w:b/>
              </w:rPr>
            </w:pPr>
            <w:r w:rsidRPr="00401057">
              <w:rPr>
                <w:b/>
              </w:rPr>
              <w:t>Début et fin de la procédure</w:t>
            </w:r>
          </w:p>
        </w:tc>
        <w:tc>
          <w:tcPr>
            <w:tcW w:w="923" w:type="pct"/>
            <w:vAlign w:val="center"/>
          </w:tcPr>
          <w:p w14:paraId="28F6DE90" w14:textId="77777777" w:rsidR="00430380" w:rsidRPr="00401057" w:rsidRDefault="00430380" w:rsidP="00401057">
            <w:pPr>
              <w:pStyle w:val="JuPara"/>
              <w:ind w:firstLine="0"/>
              <w:jc w:val="center"/>
              <w:rPr>
                <w:b/>
              </w:rPr>
            </w:pPr>
            <w:r w:rsidRPr="00401057">
              <w:rPr>
                <w:b/>
              </w:rPr>
              <w:t xml:space="preserve">Représentant </w:t>
            </w:r>
          </w:p>
        </w:tc>
      </w:tr>
      <w:tr w:rsidR="0050598E" w:rsidRPr="00401057" w14:paraId="005B4D22" w14:textId="77777777" w:rsidTr="00630A01">
        <w:tc>
          <w:tcPr>
            <w:tcW w:w="868" w:type="pct"/>
            <w:shd w:val="clear" w:color="auto" w:fill="auto"/>
            <w:vAlign w:val="center"/>
          </w:tcPr>
          <w:p w14:paraId="1BCEE574" w14:textId="77777777" w:rsidR="00430380" w:rsidRPr="00401057" w:rsidRDefault="00430380" w:rsidP="00401057">
            <w:pPr>
              <w:pStyle w:val="JuPara"/>
              <w:ind w:firstLine="0"/>
              <w:jc w:val="center"/>
              <w:rPr>
                <w:rFonts w:eastAsia="Times New Roman"/>
                <w:b/>
                <w:bCs/>
                <w:lang w:val="it-IT"/>
              </w:rPr>
            </w:pPr>
            <w:bookmarkStart w:id="31" w:name="_Hlk101976520"/>
            <w:r w:rsidRPr="00401057">
              <w:rPr>
                <w:rFonts w:eastAsia="Times New Roman"/>
                <w:b/>
                <w:bCs/>
                <w:lang w:val="it-IT"/>
              </w:rPr>
              <w:t>15566/13</w:t>
            </w:r>
          </w:p>
          <w:p w14:paraId="6B454D82" w14:textId="77777777" w:rsidR="00430380" w:rsidRPr="00401057" w:rsidRDefault="00430380" w:rsidP="00401057">
            <w:pPr>
              <w:pStyle w:val="JuPara"/>
              <w:ind w:firstLine="0"/>
              <w:jc w:val="center"/>
              <w:rPr>
                <w:b/>
                <w:bCs/>
                <w:color w:val="000000"/>
                <w:lang w:val="it-IT"/>
              </w:rPr>
            </w:pPr>
            <w:r w:rsidRPr="00401057">
              <w:rPr>
                <w:rFonts w:eastAsia="Times New Roman"/>
                <w:b/>
                <w:bCs/>
                <w:lang w:val="it-IT"/>
              </w:rPr>
              <w:t>Verrascina c. Italie</w:t>
            </w:r>
          </w:p>
          <w:p w14:paraId="5CBB612C" w14:textId="77777777" w:rsidR="00430380" w:rsidRPr="00401057" w:rsidRDefault="00430380" w:rsidP="00401057">
            <w:pPr>
              <w:pStyle w:val="JuPara"/>
              <w:ind w:firstLine="0"/>
              <w:jc w:val="center"/>
              <w:rPr>
                <w:color w:val="000000"/>
                <w:lang w:val="it-IT"/>
              </w:rPr>
            </w:pPr>
            <w:r w:rsidRPr="00401057">
              <w:rPr>
                <w:color w:val="000000"/>
                <w:lang w:val="it-IT"/>
              </w:rPr>
              <w:t xml:space="preserve">Introduite le </w:t>
            </w:r>
            <w:r w:rsidRPr="00401057">
              <w:rPr>
                <w:rFonts w:eastAsia="Times New Roman"/>
                <w:lang w:val="it-IT"/>
              </w:rPr>
              <w:t>28/01/2013</w:t>
            </w:r>
          </w:p>
          <w:p w14:paraId="1B8BB306" w14:textId="77777777" w:rsidR="00430380" w:rsidRPr="00401057" w:rsidRDefault="00430380" w:rsidP="00401057">
            <w:pPr>
              <w:pStyle w:val="JuPara"/>
              <w:ind w:firstLine="0"/>
              <w:rPr>
                <w:color w:val="000000"/>
                <w:lang w:val="it-IT"/>
              </w:rPr>
            </w:pPr>
          </w:p>
          <w:p w14:paraId="595F9F15" w14:textId="2BF264E5" w:rsidR="00430380" w:rsidRPr="00401057" w:rsidRDefault="00430380" w:rsidP="00401057">
            <w:pPr>
              <w:pStyle w:val="JuPara"/>
              <w:ind w:firstLine="0"/>
              <w:jc w:val="center"/>
              <w:rPr>
                <w:rFonts w:eastAsia="Times New Roman"/>
              </w:rPr>
            </w:pPr>
            <w:r w:rsidRPr="00401057">
              <w:rPr>
                <w:rFonts w:eastAsia="Times New Roman"/>
              </w:rPr>
              <w:t>A</w:t>
            </w:r>
            <w:r w:rsidR="00EC7A41" w:rsidRPr="00401057">
              <w:rPr>
                <w:rFonts w:eastAsia="Times New Roman"/>
              </w:rPr>
              <w:t>.</w:t>
            </w:r>
            <w:r w:rsidRPr="00401057">
              <w:rPr>
                <w:rFonts w:eastAsia="Times New Roman"/>
              </w:rPr>
              <w:t xml:space="preserve"> VERRASCINA</w:t>
            </w:r>
            <w:r w:rsidRPr="00401057">
              <w:rPr>
                <w:rFonts w:eastAsia="Times New Roman"/>
              </w:rPr>
              <w:br/>
              <w:t xml:space="preserve"> </w:t>
            </w:r>
            <w:r w:rsidR="00EC7A41" w:rsidRPr="00401057">
              <w:rPr>
                <w:rFonts w:eastAsia="Times New Roman"/>
              </w:rPr>
              <w:t>r</w:t>
            </w:r>
            <w:r w:rsidRPr="00401057">
              <w:rPr>
                <w:rFonts w:eastAsia="Times New Roman"/>
              </w:rPr>
              <w:t>essortissant italien</w:t>
            </w:r>
          </w:p>
          <w:p w14:paraId="4466C16B" w14:textId="77777777" w:rsidR="00430380" w:rsidRPr="00401057" w:rsidRDefault="00430380" w:rsidP="00401057">
            <w:pPr>
              <w:pStyle w:val="JuPara"/>
              <w:ind w:firstLine="0"/>
              <w:jc w:val="center"/>
              <w:rPr>
                <w:lang w:val="it-IT"/>
              </w:rPr>
            </w:pPr>
            <w:r w:rsidRPr="00401057">
              <w:rPr>
                <w:rFonts w:eastAsia="Times New Roman"/>
              </w:rPr>
              <w:t>né en 1959</w:t>
            </w:r>
          </w:p>
        </w:tc>
        <w:tc>
          <w:tcPr>
            <w:tcW w:w="979" w:type="pct"/>
            <w:shd w:val="clear" w:color="auto" w:fill="auto"/>
            <w:vAlign w:val="center"/>
          </w:tcPr>
          <w:p w14:paraId="35170914" w14:textId="77777777" w:rsidR="00430380" w:rsidRPr="00401057" w:rsidRDefault="00430380" w:rsidP="00401057">
            <w:pPr>
              <w:pStyle w:val="JuPara"/>
              <w:ind w:firstLine="0"/>
              <w:jc w:val="center"/>
            </w:pPr>
            <w:r w:rsidRPr="00401057">
              <w:t xml:space="preserve">18 ans et 8 mois pour </w:t>
            </w:r>
            <w:r w:rsidRPr="00401057">
              <w:br/>
              <w:t>trois degrés de juridiction</w:t>
            </w:r>
          </w:p>
        </w:tc>
        <w:tc>
          <w:tcPr>
            <w:tcW w:w="2230" w:type="pct"/>
            <w:shd w:val="clear" w:color="auto" w:fill="auto"/>
          </w:tcPr>
          <w:p w14:paraId="4FC40A9F" w14:textId="77777777" w:rsidR="00430380" w:rsidRPr="00401057" w:rsidRDefault="00430380" w:rsidP="00401057">
            <w:pPr>
              <w:pStyle w:val="JuPara"/>
              <w:ind w:firstLine="0"/>
              <w:jc w:val="left"/>
              <w:rPr>
                <w:color w:val="000000"/>
              </w:rPr>
            </w:pPr>
          </w:p>
          <w:p w14:paraId="2ED8651B" w14:textId="77777777" w:rsidR="00430380" w:rsidRPr="00401057" w:rsidRDefault="00430380" w:rsidP="00401057">
            <w:pPr>
              <w:pStyle w:val="JuPara"/>
              <w:ind w:firstLine="0"/>
              <w:jc w:val="left"/>
              <w:rPr>
                <w:color w:val="000000"/>
              </w:rPr>
            </w:pPr>
            <w:r w:rsidRPr="00401057">
              <w:rPr>
                <w:b/>
                <w:color w:val="000000"/>
                <w:u w:val="single"/>
              </w:rPr>
              <w:t>Autorité judiciaire</w:t>
            </w:r>
            <w:r w:rsidRPr="00401057">
              <w:rPr>
                <w:color w:val="000000"/>
              </w:rPr>
              <w:t> :</w:t>
            </w:r>
          </w:p>
          <w:p w14:paraId="3EAB9380" w14:textId="5B611EF0" w:rsidR="00430380" w:rsidRPr="00401057" w:rsidRDefault="00430380" w:rsidP="00401057">
            <w:pPr>
              <w:pStyle w:val="JuPara"/>
              <w:numPr>
                <w:ilvl w:val="0"/>
                <w:numId w:val="3"/>
              </w:numPr>
              <w:suppressAutoHyphens/>
              <w:jc w:val="left"/>
              <w:rPr>
                <w:color w:val="000000"/>
              </w:rPr>
            </w:pPr>
            <w:r w:rsidRPr="00401057">
              <w:rPr>
                <w:color w:val="000000"/>
              </w:rPr>
              <w:t>Tribunal de Modène</w:t>
            </w:r>
          </w:p>
          <w:p w14:paraId="57467568" w14:textId="77777777" w:rsidR="00430380" w:rsidRPr="00401057" w:rsidRDefault="00430380" w:rsidP="00401057">
            <w:pPr>
              <w:pStyle w:val="JuPara"/>
              <w:suppressAutoHyphens/>
              <w:ind w:left="360" w:firstLine="0"/>
              <w:jc w:val="left"/>
              <w:rPr>
                <w:color w:val="000000"/>
              </w:rPr>
            </w:pPr>
            <w:r w:rsidRPr="00401057">
              <w:rPr>
                <w:color w:val="000000"/>
              </w:rPr>
              <w:t>(R.G. n</w:t>
            </w:r>
            <w:r w:rsidRPr="00401057">
              <w:rPr>
                <w:color w:val="000000"/>
                <w:vertAlign w:val="superscript"/>
              </w:rPr>
              <w:t>o</w:t>
            </w:r>
            <w:r w:rsidRPr="00401057">
              <w:rPr>
                <w:color w:val="000000"/>
              </w:rPr>
              <w:t xml:space="preserve"> 1755/1997)</w:t>
            </w:r>
          </w:p>
          <w:p w14:paraId="451303CD" w14:textId="77777777" w:rsidR="00430380" w:rsidRPr="00401057" w:rsidRDefault="00430380" w:rsidP="00401057">
            <w:pPr>
              <w:pStyle w:val="JuPara"/>
              <w:suppressAutoHyphens/>
              <w:ind w:left="360" w:firstLine="0"/>
              <w:jc w:val="left"/>
              <w:rPr>
                <w:color w:val="000000"/>
              </w:rPr>
            </w:pPr>
            <w:r w:rsidRPr="00401057">
              <w:rPr>
                <w:color w:val="000000"/>
              </w:rPr>
              <w:t>Début de la procédure : 27 juin 1997</w:t>
            </w:r>
          </w:p>
          <w:p w14:paraId="0585B454" w14:textId="77777777" w:rsidR="00430380" w:rsidRPr="00401057" w:rsidRDefault="00430380" w:rsidP="00401057">
            <w:pPr>
              <w:pStyle w:val="JuPara"/>
              <w:suppressAutoHyphens/>
              <w:ind w:left="360" w:firstLine="0"/>
              <w:jc w:val="left"/>
              <w:rPr>
                <w:color w:val="000000"/>
              </w:rPr>
            </w:pPr>
            <w:r w:rsidRPr="00401057">
              <w:rPr>
                <w:color w:val="000000"/>
              </w:rPr>
              <w:t>Fin de la procédure : 5 août 2011</w:t>
            </w:r>
          </w:p>
          <w:p w14:paraId="7563C0B8" w14:textId="77777777" w:rsidR="00430380" w:rsidRPr="00401057" w:rsidRDefault="00430380" w:rsidP="00401057">
            <w:pPr>
              <w:pStyle w:val="JuPara"/>
              <w:suppressAutoHyphens/>
              <w:ind w:left="360" w:firstLine="0"/>
              <w:jc w:val="left"/>
              <w:rPr>
                <w:b/>
                <w:bCs/>
                <w:color w:val="000000"/>
                <w:u w:val="single"/>
              </w:rPr>
            </w:pPr>
          </w:p>
          <w:p w14:paraId="0EE55A9E" w14:textId="168532B2" w:rsidR="00430380" w:rsidRPr="00401057" w:rsidRDefault="00430380" w:rsidP="00401057">
            <w:pPr>
              <w:pStyle w:val="JuPara"/>
              <w:numPr>
                <w:ilvl w:val="0"/>
                <w:numId w:val="4"/>
              </w:numPr>
              <w:jc w:val="left"/>
              <w:rPr>
                <w:bCs/>
                <w:color w:val="000000"/>
              </w:rPr>
            </w:pPr>
            <w:r w:rsidRPr="00401057">
              <w:rPr>
                <w:bCs/>
                <w:color w:val="000000"/>
              </w:rPr>
              <w:t>Cour d</w:t>
            </w:r>
            <w:r w:rsidR="00401057" w:rsidRPr="00401057">
              <w:rPr>
                <w:bCs/>
                <w:color w:val="000000"/>
              </w:rPr>
              <w:t>’</w:t>
            </w:r>
            <w:r w:rsidRPr="00401057">
              <w:rPr>
                <w:bCs/>
                <w:color w:val="000000"/>
              </w:rPr>
              <w:t>appel de Bologne</w:t>
            </w:r>
          </w:p>
          <w:p w14:paraId="0FD217F9" w14:textId="0936B79A" w:rsidR="00430380" w:rsidRPr="00401057" w:rsidRDefault="00430380" w:rsidP="00401057">
            <w:pPr>
              <w:pStyle w:val="JuPara"/>
              <w:ind w:left="360" w:firstLine="0"/>
              <w:jc w:val="left"/>
              <w:rPr>
                <w:bCs/>
                <w:color w:val="000000"/>
              </w:rPr>
            </w:pPr>
            <w:r w:rsidRPr="00401057">
              <w:rPr>
                <w:bCs/>
                <w:color w:val="000000"/>
              </w:rPr>
              <w:t>(R.G. n</w:t>
            </w:r>
            <w:r w:rsidRPr="00401057">
              <w:rPr>
                <w:bCs/>
                <w:color w:val="000000"/>
                <w:vertAlign w:val="superscript"/>
              </w:rPr>
              <w:t>o</w:t>
            </w:r>
            <w:r w:rsidRPr="00401057">
              <w:rPr>
                <w:bCs/>
                <w:color w:val="000000"/>
              </w:rPr>
              <w:t xml:space="preserve"> 410/2012)</w:t>
            </w:r>
          </w:p>
          <w:p w14:paraId="09EE6442" w14:textId="132E5408" w:rsidR="00430380" w:rsidRPr="00401057" w:rsidRDefault="00430380" w:rsidP="00401057">
            <w:pPr>
              <w:pStyle w:val="JuPara"/>
              <w:ind w:left="360" w:firstLine="0"/>
              <w:jc w:val="left"/>
              <w:rPr>
                <w:bCs/>
                <w:color w:val="000000"/>
              </w:rPr>
            </w:pPr>
            <w:r w:rsidRPr="00401057">
              <w:rPr>
                <w:bCs/>
                <w:color w:val="000000"/>
              </w:rPr>
              <w:t>Début de la procédure :</w:t>
            </w:r>
            <w:r w:rsidR="00966B1B" w:rsidRPr="00401057">
              <w:rPr>
                <w:bCs/>
                <w:color w:val="000000"/>
              </w:rPr>
              <w:t xml:space="preserve"> </w:t>
            </w:r>
            <w:r w:rsidRPr="00401057">
              <w:rPr>
                <w:bCs/>
                <w:color w:val="000000"/>
              </w:rPr>
              <w:t>22 février 2012</w:t>
            </w:r>
          </w:p>
          <w:p w14:paraId="1988DF51" w14:textId="77777777" w:rsidR="00430380" w:rsidRPr="00401057" w:rsidRDefault="00430380" w:rsidP="00401057">
            <w:pPr>
              <w:pStyle w:val="JuPara"/>
              <w:ind w:left="360" w:firstLine="0"/>
              <w:jc w:val="left"/>
              <w:rPr>
                <w:bCs/>
                <w:color w:val="000000"/>
              </w:rPr>
            </w:pPr>
            <w:r w:rsidRPr="00401057">
              <w:rPr>
                <w:bCs/>
                <w:color w:val="000000"/>
              </w:rPr>
              <w:t>Fin de la procédure : 7 avril 2014</w:t>
            </w:r>
          </w:p>
          <w:p w14:paraId="32EBE7C4" w14:textId="77777777" w:rsidR="00430380" w:rsidRPr="00401057" w:rsidRDefault="00430380" w:rsidP="00401057">
            <w:pPr>
              <w:pStyle w:val="JuPara"/>
              <w:ind w:left="360" w:firstLine="0"/>
              <w:jc w:val="left"/>
              <w:rPr>
                <w:bCs/>
                <w:color w:val="000000"/>
              </w:rPr>
            </w:pPr>
          </w:p>
          <w:p w14:paraId="1F270CAB" w14:textId="77777777" w:rsidR="00430380" w:rsidRPr="00401057" w:rsidRDefault="00430380" w:rsidP="00401057">
            <w:pPr>
              <w:pStyle w:val="JuPara"/>
              <w:numPr>
                <w:ilvl w:val="0"/>
                <w:numId w:val="4"/>
              </w:numPr>
              <w:jc w:val="left"/>
              <w:rPr>
                <w:bCs/>
                <w:color w:val="000000"/>
              </w:rPr>
            </w:pPr>
            <w:r w:rsidRPr="00401057">
              <w:rPr>
                <w:bCs/>
                <w:color w:val="000000"/>
              </w:rPr>
              <w:t>Cour de cassation</w:t>
            </w:r>
          </w:p>
          <w:p w14:paraId="381DB405" w14:textId="77777777" w:rsidR="00430380" w:rsidRPr="00401057" w:rsidRDefault="00430380" w:rsidP="00401057">
            <w:pPr>
              <w:pStyle w:val="JuPara"/>
              <w:ind w:left="360" w:firstLine="0"/>
              <w:jc w:val="left"/>
              <w:rPr>
                <w:bCs/>
                <w:color w:val="000000"/>
              </w:rPr>
            </w:pPr>
            <w:r w:rsidRPr="00401057">
              <w:rPr>
                <w:bCs/>
                <w:color w:val="000000"/>
              </w:rPr>
              <w:t>(R.G. n</w:t>
            </w:r>
            <w:r w:rsidRPr="00401057">
              <w:rPr>
                <w:bCs/>
                <w:color w:val="000000"/>
                <w:vertAlign w:val="superscript"/>
              </w:rPr>
              <w:t>o</w:t>
            </w:r>
            <w:r w:rsidRPr="00401057">
              <w:rPr>
                <w:bCs/>
                <w:color w:val="000000"/>
              </w:rPr>
              <w:t xml:space="preserve"> 5877/2015)</w:t>
            </w:r>
          </w:p>
          <w:p w14:paraId="668FEA9F" w14:textId="77777777" w:rsidR="00430380" w:rsidRPr="00401057" w:rsidRDefault="00430380" w:rsidP="00401057">
            <w:pPr>
              <w:pStyle w:val="JuPara"/>
              <w:ind w:left="360" w:firstLine="0"/>
              <w:jc w:val="left"/>
              <w:rPr>
                <w:bCs/>
                <w:color w:val="000000"/>
              </w:rPr>
            </w:pPr>
            <w:r w:rsidRPr="00401057">
              <w:rPr>
                <w:bCs/>
                <w:color w:val="000000"/>
              </w:rPr>
              <w:t>Début de la procédure : 18 février 2015</w:t>
            </w:r>
          </w:p>
          <w:p w14:paraId="3A28C88D" w14:textId="77777777" w:rsidR="00430380" w:rsidRPr="00401057" w:rsidRDefault="00430380" w:rsidP="00401057">
            <w:pPr>
              <w:pStyle w:val="JuPara"/>
              <w:ind w:left="360" w:firstLine="0"/>
              <w:jc w:val="left"/>
              <w:rPr>
                <w:bCs/>
                <w:color w:val="000000"/>
              </w:rPr>
            </w:pPr>
            <w:r w:rsidRPr="00401057">
              <w:rPr>
                <w:bCs/>
                <w:color w:val="000000"/>
              </w:rPr>
              <w:t>Fin de la procédure : 31 juillet 2017</w:t>
            </w:r>
          </w:p>
        </w:tc>
        <w:tc>
          <w:tcPr>
            <w:tcW w:w="923" w:type="pct"/>
          </w:tcPr>
          <w:p w14:paraId="49A2AD8D" w14:textId="77777777" w:rsidR="00430380" w:rsidRPr="00401057" w:rsidRDefault="00430380" w:rsidP="00401057">
            <w:pPr>
              <w:pStyle w:val="JuPara"/>
              <w:ind w:firstLine="0"/>
              <w:jc w:val="center"/>
            </w:pPr>
          </w:p>
          <w:p w14:paraId="00E8DC62" w14:textId="64210C3D" w:rsidR="00430380" w:rsidRPr="00401057" w:rsidRDefault="00430380" w:rsidP="00401057">
            <w:pPr>
              <w:pStyle w:val="JuPara"/>
              <w:ind w:firstLine="0"/>
              <w:jc w:val="center"/>
            </w:pPr>
            <w:r w:rsidRPr="00401057">
              <w:t>E. PASQUIN</w:t>
            </w:r>
            <w:r w:rsidR="000F1907" w:rsidRPr="00401057">
              <w:t>ELL</w:t>
            </w:r>
            <w:r w:rsidRPr="00401057">
              <w:t>I</w:t>
            </w:r>
          </w:p>
        </w:tc>
      </w:tr>
      <w:tr w:rsidR="0050598E" w:rsidRPr="00401057" w14:paraId="076F3CCE" w14:textId="77777777" w:rsidTr="00630A01">
        <w:tc>
          <w:tcPr>
            <w:tcW w:w="868" w:type="pct"/>
            <w:shd w:val="clear" w:color="auto" w:fill="auto"/>
            <w:vAlign w:val="center"/>
          </w:tcPr>
          <w:p w14:paraId="49AAC74D" w14:textId="77777777" w:rsidR="00430380" w:rsidRPr="00401057" w:rsidRDefault="00430380" w:rsidP="00401057">
            <w:pPr>
              <w:pStyle w:val="JuPara"/>
              <w:ind w:firstLine="0"/>
              <w:jc w:val="center"/>
              <w:rPr>
                <w:b/>
                <w:color w:val="000000"/>
                <w:lang w:val="it-IT"/>
              </w:rPr>
            </w:pPr>
          </w:p>
          <w:p w14:paraId="37ACB1EC" w14:textId="77777777" w:rsidR="00430380" w:rsidRPr="00401057" w:rsidRDefault="00430380" w:rsidP="00401057">
            <w:pPr>
              <w:pStyle w:val="JuPara"/>
              <w:ind w:firstLine="0"/>
              <w:jc w:val="center"/>
              <w:rPr>
                <w:b/>
                <w:lang w:val="it-IT"/>
              </w:rPr>
            </w:pPr>
            <w:r w:rsidRPr="00401057">
              <w:rPr>
                <w:b/>
                <w:color w:val="000000"/>
                <w:lang w:val="it-IT"/>
              </w:rPr>
              <w:t>4030/14</w:t>
            </w:r>
          </w:p>
          <w:p w14:paraId="773269BF" w14:textId="77777777" w:rsidR="00430380" w:rsidRPr="00401057" w:rsidRDefault="00430380" w:rsidP="00401057">
            <w:pPr>
              <w:pStyle w:val="JuPara"/>
              <w:ind w:firstLine="0"/>
              <w:jc w:val="center"/>
              <w:rPr>
                <w:b/>
                <w:lang w:val="it-IT"/>
              </w:rPr>
            </w:pPr>
            <w:r w:rsidRPr="00401057">
              <w:rPr>
                <w:b/>
                <w:lang w:val="it-IT"/>
              </w:rPr>
              <w:t>Chiari c. Italie</w:t>
            </w:r>
          </w:p>
          <w:p w14:paraId="640FBB5F" w14:textId="77777777" w:rsidR="00430380" w:rsidRPr="00401057" w:rsidRDefault="00430380" w:rsidP="00401057">
            <w:pPr>
              <w:pStyle w:val="JuPara"/>
              <w:ind w:firstLine="0"/>
              <w:jc w:val="center"/>
              <w:rPr>
                <w:lang w:val="it-IT"/>
              </w:rPr>
            </w:pPr>
            <w:r w:rsidRPr="00401057">
              <w:rPr>
                <w:lang w:val="it-IT"/>
              </w:rPr>
              <w:t>Introduite le 17/03/2014</w:t>
            </w:r>
          </w:p>
          <w:p w14:paraId="4A94166F" w14:textId="77777777" w:rsidR="00430380" w:rsidRPr="00401057" w:rsidRDefault="00430380" w:rsidP="00401057">
            <w:pPr>
              <w:pStyle w:val="JuPara"/>
              <w:ind w:firstLine="0"/>
              <w:jc w:val="center"/>
              <w:rPr>
                <w:lang w:val="it-IT"/>
              </w:rPr>
            </w:pPr>
          </w:p>
          <w:p w14:paraId="2E2D81E2" w14:textId="0F940F0E" w:rsidR="00430380" w:rsidRPr="00401057" w:rsidRDefault="00430380" w:rsidP="00401057">
            <w:pPr>
              <w:pStyle w:val="JuPara"/>
              <w:ind w:firstLine="0"/>
              <w:jc w:val="center"/>
              <w:rPr>
                <w:lang w:val="it-IT"/>
              </w:rPr>
            </w:pPr>
            <w:r w:rsidRPr="00401057">
              <w:rPr>
                <w:lang w:val="it-IT"/>
              </w:rPr>
              <w:t>G</w:t>
            </w:r>
            <w:r w:rsidR="00EC7A41" w:rsidRPr="00401057">
              <w:rPr>
                <w:lang w:val="it-IT"/>
              </w:rPr>
              <w:t>.</w:t>
            </w:r>
            <w:r w:rsidRPr="00401057">
              <w:rPr>
                <w:lang w:val="it-IT"/>
              </w:rPr>
              <w:t xml:space="preserve"> CHIARI ressortissant italien né en 1961</w:t>
            </w:r>
          </w:p>
        </w:tc>
        <w:tc>
          <w:tcPr>
            <w:tcW w:w="979" w:type="pct"/>
            <w:shd w:val="clear" w:color="auto" w:fill="auto"/>
            <w:vAlign w:val="center"/>
          </w:tcPr>
          <w:p w14:paraId="22DC819C" w14:textId="77777777" w:rsidR="00430380" w:rsidRPr="00401057" w:rsidRDefault="00430380" w:rsidP="00401057">
            <w:pPr>
              <w:pStyle w:val="JuPara"/>
              <w:ind w:firstLine="0"/>
              <w:jc w:val="center"/>
            </w:pPr>
          </w:p>
          <w:p w14:paraId="00651498" w14:textId="77777777" w:rsidR="00430380" w:rsidRPr="00401057" w:rsidRDefault="00430380" w:rsidP="00401057">
            <w:pPr>
              <w:pStyle w:val="JuPara"/>
              <w:ind w:firstLine="0"/>
              <w:jc w:val="center"/>
            </w:pPr>
            <w:r w:rsidRPr="00401057">
              <w:t>11 ans et 4 mois pour deux degrés de juridiction</w:t>
            </w:r>
          </w:p>
        </w:tc>
        <w:tc>
          <w:tcPr>
            <w:tcW w:w="2230" w:type="pct"/>
            <w:shd w:val="clear" w:color="auto" w:fill="auto"/>
          </w:tcPr>
          <w:p w14:paraId="40D3B34E" w14:textId="77777777" w:rsidR="00430380" w:rsidRPr="00401057" w:rsidRDefault="00430380" w:rsidP="00401057">
            <w:pPr>
              <w:pStyle w:val="JuPara"/>
              <w:ind w:firstLine="0"/>
              <w:jc w:val="left"/>
              <w:rPr>
                <w:b/>
                <w:color w:val="000000"/>
                <w:u w:val="single"/>
              </w:rPr>
            </w:pPr>
          </w:p>
          <w:p w14:paraId="149297FF" w14:textId="77777777" w:rsidR="00430380" w:rsidRPr="00401057" w:rsidRDefault="00430380" w:rsidP="00401057">
            <w:pPr>
              <w:pStyle w:val="JuPara"/>
              <w:ind w:firstLine="0"/>
              <w:jc w:val="left"/>
              <w:rPr>
                <w:color w:val="000000"/>
              </w:rPr>
            </w:pPr>
            <w:r w:rsidRPr="00401057">
              <w:rPr>
                <w:b/>
                <w:color w:val="000000"/>
                <w:u w:val="single"/>
              </w:rPr>
              <w:t>Autorité judiciaire</w:t>
            </w:r>
            <w:r w:rsidRPr="00401057">
              <w:rPr>
                <w:color w:val="000000"/>
              </w:rPr>
              <w:t> :</w:t>
            </w:r>
          </w:p>
          <w:p w14:paraId="56DDDFA3" w14:textId="37ECB527" w:rsidR="00430380" w:rsidRPr="00401057" w:rsidRDefault="00430380" w:rsidP="00401057">
            <w:pPr>
              <w:pStyle w:val="JuPara"/>
              <w:numPr>
                <w:ilvl w:val="0"/>
                <w:numId w:val="3"/>
              </w:numPr>
              <w:suppressAutoHyphens/>
              <w:jc w:val="left"/>
              <w:rPr>
                <w:color w:val="000000"/>
              </w:rPr>
            </w:pPr>
            <w:r w:rsidRPr="00401057">
              <w:rPr>
                <w:color w:val="000000"/>
              </w:rPr>
              <w:t>Tribunal de Naples</w:t>
            </w:r>
          </w:p>
          <w:p w14:paraId="18D94D6E" w14:textId="77777777" w:rsidR="00430380" w:rsidRPr="00401057" w:rsidRDefault="00430380" w:rsidP="00401057">
            <w:pPr>
              <w:pStyle w:val="JuPara"/>
              <w:suppressAutoHyphens/>
              <w:ind w:left="360" w:firstLine="0"/>
              <w:jc w:val="left"/>
              <w:rPr>
                <w:color w:val="000000"/>
              </w:rPr>
            </w:pPr>
            <w:r w:rsidRPr="00401057">
              <w:rPr>
                <w:color w:val="000000"/>
              </w:rPr>
              <w:t>(R.G. n</w:t>
            </w:r>
            <w:r w:rsidRPr="00401057">
              <w:rPr>
                <w:color w:val="000000"/>
                <w:vertAlign w:val="superscript"/>
              </w:rPr>
              <w:t>o</w:t>
            </w:r>
            <w:r w:rsidRPr="00401057">
              <w:rPr>
                <w:color w:val="000000"/>
              </w:rPr>
              <w:t xml:space="preserve"> 7816/2003)</w:t>
            </w:r>
          </w:p>
          <w:p w14:paraId="637C26F0" w14:textId="735A7C83" w:rsidR="00430380" w:rsidRPr="00401057" w:rsidRDefault="00430380" w:rsidP="00401057">
            <w:pPr>
              <w:pStyle w:val="JuPara"/>
              <w:suppressAutoHyphens/>
              <w:ind w:left="360" w:firstLine="0"/>
              <w:jc w:val="left"/>
              <w:rPr>
                <w:color w:val="000000"/>
              </w:rPr>
            </w:pPr>
            <w:r w:rsidRPr="00401057">
              <w:rPr>
                <w:color w:val="000000"/>
              </w:rPr>
              <w:t>Début de la procédure</w:t>
            </w:r>
            <w:r w:rsidR="00966B1B" w:rsidRPr="00401057">
              <w:rPr>
                <w:color w:val="000000"/>
              </w:rPr>
              <w:t xml:space="preserve"> </w:t>
            </w:r>
            <w:r w:rsidRPr="00401057">
              <w:rPr>
                <w:color w:val="000000"/>
              </w:rPr>
              <w:t>: 8 juillet 2003</w:t>
            </w:r>
          </w:p>
          <w:p w14:paraId="2CEEA4F3" w14:textId="77777777" w:rsidR="00430380" w:rsidRPr="00401057" w:rsidRDefault="00430380" w:rsidP="00401057">
            <w:pPr>
              <w:pStyle w:val="JuPara"/>
              <w:suppressAutoHyphens/>
              <w:ind w:left="360" w:firstLine="0"/>
              <w:jc w:val="left"/>
              <w:rPr>
                <w:color w:val="000000"/>
              </w:rPr>
            </w:pPr>
            <w:r w:rsidRPr="00401057">
              <w:rPr>
                <w:color w:val="000000"/>
              </w:rPr>
              <w:t>Fin de la procédure : 22 janvier 2010</w:t>
            </w:r>
          </w:p>
          <w:p w14:paraId="5A3AB6FF" w14:textId="77777777" w:rsidR="00430380" w:rsidRPr="00401057" w:rsidRDefault="00430380" w:rsidP="00401057">
            <w:pPr>
              <w:pStyle w:val="JuPara"/>
              <w:suppressAutoHyphens/>
              <w:ind w:left="360" w:firstLine="0"/>
              <w:jc w:val="left"/>
              <w:rPr>
                <w:color w:val="000000"/>
              </w:rPr>
            </w:pPr>
          </w:p>
          <w:p w14:paraId="198B41BC" w14:textId="253AC070" w:rsidR="00430380" w:rsidRPr="00401057" w:rsidRDefault="00430380" w:rsidP="00401057">
            <w:pPr>
              <w:pStyle w:val="JuPara"/>
              <w:numPr>
                <w:ilvl w:val="0"/>
                <w:numId w:val="4"/>
              </w:numPr>
              <w:jc w:val="left"/>
              <w:rPr>
                <w:color w:val="000000"/>
              </w:rPr>
            </w:pPr>
            <w:r w:rsidRPr="00401057">
              <w:rPr>
                <w:color w:val="000000"/>
              </w:rPr>
              <w:t>Cour d</w:t>
            </w:r>
            <w:r w:rsidR="00401057" w:rsidRPr="00401057">
              <w:rPr>
                <w:color w:val="000000"/>
              </w:rPr>
              <w:t>’</w:t>
            </w:r>
            <w:r w:rsidRPr="00401057">
              <w:rPr>
                <w:color w:val="000000"/>
              </w:rPr>
              <w:t>appel de Naples</w:t>
            </w:r>
          </w:p>
          <w:p w14:paraId="0E658EC2" w14:textId="77777777" w:rsidR="00430380" w:rsidRPr="00401057" w:rsidRDefault="00430380" w:rsidP="00401057">
            <w:pPr>
              <w:pStyle w:val="JuPara"/>
              <w:ind w:left="360" w:firstLine="0"/>
              <w:jc w:val="left"/>
              <w:rPr>
                <w:color w:val="000000"/>
              </w:rPr>
            </w:pPr>
            <w:r w:rsidRPr="00401057">
              <w:rPr>
                <w:color w:val="000000"/>
              </w:rPr>
              <w:t>(R.G. n</w:t>
            </w:r>
            <w:r w:rsidRPr="00401057">
              <w:rPr>
                <w:color w:val="000000"/>
                <w:vertAlign w:val="superscript"/>
              </w:rPr>
              <w:t>o</w:t>
            </w:r>
            <w:r w:rsidRPr="00401057">
              <w:rPr>
                <w:color w:val="000000"/>
              </w:rPr>
              <w:t xml:space="preserve"> 3534/2010)</w:t>
            </w:r>
          </w:p>
          <w:p w14:paraId="69226A90" w14:textId="77777777" w:rsidR="00430380" w:rsidRPr="00401057" w:rsidRDefault="00430380" w:rsidP="00401057">
            <w:pPr>
              <w:pStyle w:val="JuPara"/>
              <w:ind w:left="360" w:firstLine="0"/>
              <w:jc w:val="left"/>
              <w:rPr>
                <w:color w:val="000000"/>
              </w:rPr>
            </w:pPr>
            <w:r w:rsidRPr="00401057">
              <w:rPr>
                <w:color w:val="000000"/>
              </w:rPr>
              <w:t>Début de la procédure : 2 avril 2010</w:t>
            </w:r>
          </w:p>
          <w:p w14:paraId="685EF817" w14:textId="77777777" w:rsidR="00430380" w:rsidRPr="00401057" w:rsidRDefault="00430380" w:rsidP="00401057">
            <w:pPr>
              <w:pStyle w:val="JuPara"/>
              <w:ind w:left="360" w:firstLine="0"/>
              <w:jc w:val="left"/>
              <w:rPr>
                <w:color w:val="000000"/>
              </w:rPr>
            </w:pPr>
            <w:r w:rsidRPr="00401057">
              <w:rPr>
                <w:color w:val="000000"/>
              </w:rPr>
              <w:t>Fin de la procédure : 27 février 2015</w:t>
            </w:r>
          </w:p>
          <w:p w14:paraId="1E608C22" w14:textId="77777777" w:rsidR="00430380" w:rsidRPr="00401057" w:rsidRDefault="00430380" w:rsidP="00401057">
            <w:pPr>
              <w:pStyle w:val="JuPara"/>
              <w:ind w:firstLine="0"/>
              <w:jc w:val="left"/>
              <w:rPr>
                <w:b/>
                <w:color w:val="000000"/>
                <w:u w:val="single"/>
              </w:rPr>
            </w:pPr>
          </w:p>
        </w:tc>
        <w:tc>
          <w:tcPr>
            <w:tcW w:w="923" w:type="pct"/>
          </w:tcPr>
          <w:p w14:paraId="78ECBEE7" w14:textId="77777777" w:rsidR="00430380" w:rsidRPr="00401057" w:rsidRDefault="00430380" w:rsidP="00401057">
            <w:pPr>
              <w:pStyle w:val="JuPara"/>
              <w:ind w:firstLine="0"/>
              <w:jc w:val="center"/>
            </w:pPr>
          </w:p>
          <w:p w14:paraId="2D6499DB" w14:textId="77777777" w:rsidR="00430380" w:rsidRPr="00401057" w:rsidRDefault="00430380" w:rsidP="00401057">
            <w:pPr>
              <w:pStyle w:val="JuPara"/>
              <w:ind w:firstLine="0"/>
              <w:jc w:val="center"/>
            </w:pPr>
            <w:r w:rsidRPr="00401057">
              <w:t>C. RIGGIO</w:t>
            </w:r>
          </w:p>
        </w:tc>
      </w:tr>
      <w:tr w:rsidR="0050598E" w:rsidRPr="00401057" w14:paraId="44C1AE01" w14:textId="77777777" w:rsidTr="00630A01">
        <w:tc>
          <w:tcPr>
            <w:tcW w:w="868" w:type="pct"/>
            <w:shd w:val="clear" w:color="auto" w:fill="auto"/>
            <w:vAlign w:val="center"/>
          </w:tcPr>
          <w:p w14:paraId="517C60EF" w14:textId="77777777" w:rsidR="00430380" w:rsidRPr="00401057" w:rsidRDefault="00430380" w:rsidP="00401057">
            <w:pPr>
              <w:pStyle w:val="JuPara"/>
              <w:ind w:firstLine="0"/>
              <w:jc w:val="center"/>
              <w:rPr>
                <w:b/>
                <w:color w:val="000000"/>
                <w:lang w:val="it-IT"/>
              </w:rPr>
            </w:pPr>
          </w:p>
          <w:p w14:paraId="2B9F9036" w14:textId="77777777" w:rsidR="00430380" w:rsidRPr="00401057" w:rsidRDefault="00430380" w:rsidP="00401057">
            <w:pPr>
              <w:pStyle w:val="JuPara"/>
              <w:ind w:firstLine="0"/>
              <w:jc w:val="center"/>
              <w:rPr>
                <w:b/>
                <w:color w:val="000000"/>
                <w:lang w:val="it-IT"/>
              </w:rPr>
            </w:pPr>
            <w:r w:rsidRPr="00401057">
              <w:rPr>
                <w:b/>
                <w:color w:val="000000"/>
                <w:lang w:val="it-IT"/>
              </w:rPr>
              <w:t>17336/14</w:t>
            </w:r>
          </w:p>
          <w:p w14:paraId="236C23DD" w14:textId="77777777" w:rsidR="00430380" w:rsidRPr="00401057" w:rsidRDefault="00430380" w:rsidP="00401057">
            <w:pPr>
              <w:pStyle w:val="JuPara"/>
              <w:ind w:firstLine="0"/>
              <w:jc w:val="center"/>
              <w:rPr>
                <w:b/>
                <w:lang w:val="it-IT"/>
              </w:rPr>
            </w:pPr>
            <w:r w:rsidRPr="00401057">
              <w:rPr>
                <w:b/>
                <w:lang w:val="it-IT"/>
              </w:rPr>
              <w:t>FA.VO. costruzioni et Fabozzi c. Italie</w:t>
            </w:r>
          </w:p>
          <w:p w14:paraId="06A88A43" w14:textId="77777777" w:rsidR="00430380" w:rsidRPr="00401057" w:rsidRDefault="00430380" w:rsidP="00401057">
            <w:pPr>
              <w:pStyle w:val="JuPara"/>
              <w:ind w:firstLine="0"/>
              <w:jc w:val="center"/>
            </w:pPr>
            <w:r w:rsidRPr="00401057">
              <w:t>Introduite le 04/04/2013</w:t>
            </w:r>
          </w:p>
          <w:p w14:paraId="0ACCEFEE" w14:textId="77777777" w:rsidR="00430380" w:rsidRPr="00401057" w:rsidRDefault="00430380" w:rsidP="00401057">
            <w:pPr>
              <w:pStyle w:val="JuPara"/>
              <w:ind w:firstLine="0"/>
              <w:jc w:val="center"/>
            </w:pPr>
          </w:p>
          <w:p w14:paraId="731D2ACA" w14:textId="3E12536B" w:rsidR="00430380" w:rsidRPr="00401057" w:rsidRDefault="00430380" w:rsidP="00401057">
            <w:pPr>
              <w:pStyle w:val="JuPara"/>
              <w:ind w:firstLine="0"/>
              <w:jc w:val="center"/>
            </w:pPr>
            <w:r w:rsidRPr="00401057">
              <w:t>N</w:t>
            </w:r>
            <w:r w:rsidR="00EC7A41" w:rsidRPr="00401057">
              <w:t>.</w:t>
            </w:r>
            <w:r w:rsidRPr="00401057">
              <w:t xml:space="preserve"> FABOZZI</w:t>
            </w:r>
            <w:r w:rsidRPr="00401057">
              <w:rPr>
                <w:rStyle w:val="Rimandonotaapidipagina"/>
                <w:rFonts w:eastAsia="Times New Roman"/>
                <w:b/>
                <w:bCs/>
                <w:lang w:val="it-IT"/>
              </w:rPr>
              <w:footnoteReference w:id="2"/>
            </w:r>
            <w:r w:rsidRPr="00401057">
              <w:t xml:space="preserve"> ressortissant italien né en 1946</w:t>
            </w:r>
          </w:p>
          <w:p w14:paraId="40FF8377" w14:textId="77777777" w:rsidR="00430380" w:rsidRPr="00401057" w:rsidRDefault="00430380" w:rsidP="00401057">
            <w:pPr>
              <w:pStyle w:val="JuPara"/>
              <w:ind w:firstLine="0"/>
              <w:jc w:val="center"/>
            </w:pPr>
          </w:p>
        </w:tc>
        <w:tc>
          <w:tcPr>
            <w:tcW w:w="979" w:type="pct"/>
            <w:shd w:val="clear" w:color="auto" w:fill="auto"/>
            <w:vAlign w:val="center"/>
          </w:tcPr>
          <w:p w14:paraId="25633E47" w14:textId="77777777" w:rsidR="00430380" w:rsidRPr="00401057" w:rsidRDefault="00430380" w:rsidP="00401057">
            <w:pPr>
              <w:pStyle w:val="JuPara"/>
              <w:ind w:firstLine="0"/>
              <w:jc w:val="center"/>
            </w:pPr>
            <w:r w:rsidRPr="00401057">
              <w:t>14 ans et 15 jours pour un degré de juridiction</w:t>
            </w:r>
          </w:p>
        </w:tc>
        <w:tc>
          <w:tcPr>
            <w:tcW w:w="2230" w:type="pct"/>
            <w:shd w:val="clear" w:color="auto" w:fill="auto"/>
          </w:tcPr>
          <w:p w14:paraId="6B58FFA9" w14:textId="77777777" w:rsidR="00430380" w:rsidRPr="00401057" w:rsidRDefault="00430380" w:rsidP="00401057">
            <w:pPr>
              <w:pStyle w:val="JuPara"/>
              <w:ind w:firstLine="0"/>
              <w:jc w:val="left"/>
              <w:rPr>
                <w:color w:val="000000"/>
              </w:rPr>
            </w:pPr>
          </w:p>
          <w:p w14:paraId="5054D661" w14:textId="77777777" w:rsidR="00430380" w:rsidRPr="00401057" w:rsidRDefault="00430380" w:rsidP="00401057">
            <w:pPr>
              <w:pStyle w:val="JuPara"/>
              <w:ind w:firstLine="0"/>
              <w:jc w:val="left"/>
              <w:rPr>
                <w:color w:val="000000"/>
              </w:rPr>
            </w:pPr>
            <w:r w:rsidRPr="00401057">
              <w:rPr>
                <w:b/>
                <w:color w:val="000000"/>
                <w:u w:val="single"/>
              </w:rPr>
              <w:t>Autorité judiciaire</w:t>
            </w:r>
            <w:r w:rsidRPr="00401057">
              <w:rPr>
                <w:color w:val="000000"/>
              </w:rPr>
              <w:t> :</w:t>
            </w:r>
          </w:p>
          <w:p w14:paraId="61B114F0" w14:textId="391B71AB" w:rsidR="00430380" w:rsidRPr="00401057" w:rsidRDefault="007068FB" w:rsidP="00401057">
            <w:pPr>
              <w:pStyle w:val="JuPara"/>
              <w:numPr>
                <w:ilvl w:val="0"/>
                <w:numId w:val="3"/>
              </w:numPr>
              <w:suppressAutoHyphens/>
              <w:jc w:val="left"/>
              <w:rPr>
                <w:color w:val="000000"/>
                <w:lang w:val="pt-PT"/>
              </w:rPr>
            </w:pPr>
            <w:r w:rsidRPr="00401057">
              <w:rPr>
                <w:color w:val="000000"/>
                <w:lang w:val="pt-PT"/>
              </w:rPr>
              <w:t>T</w:t>
            </w:r>
            <w:r w:rsidR="00430380" w:rsidRPr="00401057">
              <w:rPr>
                <w:color w:val="000000"/>
                <w:lang w:val="pt-PT"/>
              </w:rPr>
              <w:t>ribunal de S.Maria Capua a Vetere</w:t>
            </w:r>
          </w:p>
          <w:p w14:paraId="617D22E3" w14:textId="77777777" w:rsidR="00430380" w:rsidRPr="00401057" w:rsidRDefault="00430380" w:rsidP="00401057">
            <w:pPr>
              <w:pStyle w:val="JuPara"/>
              <w:suppressAutoHyphens/>
              <w:ind w:left="360" w:firstLine="0"/>
              <w:jc w:val="left"/>
              <w:rPr>
                <w:color w:val="000000"/>
              </w:rPr>
            </w:pPr>
            <w:r w:rsidRPr="00401057">
              <w:rPr>
                <w:color w:val="000000"/>
              </w:rPr>
              <w:t>(Fall. n</w:t>
            </w:r>
            <w:r w:rsidRPr="00401057">
              <w:rPr>
                <w:color w:val="000000"/>
                <w:vertAlign w:val="superscript"/>
              </w:rPr>
              <w:t>o</w:t>
            </w:r>
            <w:r w:rsidRPr="00401057">
              <w:rPr>
                <w:color w:val="000000"/>
              </w:rPr>
              <w:t xml:space="preserve"> 8425/2002)</w:t>
            </w:r>
          </w:p>
          <w:p w14:paraId="18B0474B" w14:textId="7167A3F9" w:rsidR="00430380" w:rsidRPr="00401057" w:rsidRDefault="00430380" w:rsidP="00401057">
            <w:pPr>
              <w:pStyle w:val="JuPara"/>
              <w:suppressAutoHyphens/>
              <w:ind w:left="360" w:firstLine="0"/>
              <w:jc w:val="left"/>
              <w:rPr>
                <w:color w:val="000000"/>
              </w:rPr>
            </w:pPr>
            <w:r w:rsidRPr="00401057">
              <w:rPr>
                <w:color w:val="000000"/>
              </w:rPr>
              <w:t>Début de la procédure</w:t>
            </w:r>
            <w:r w:rsidR="00966B1B" w:rsidRPr="00401057">
              <w:rPr>
                <w:color w:val="000000"/>
              </w:rPr>
              <w:t xml:space="preserve"> </w:t>
            </w:r>
            <w:r w:rsidRPr="00401057">
              <w:rPr>
                <w:color w:val="000000"/>
              </w:rPr>
              <w:t>: 21 juin 2002 (arrêt n</w:t>
            </w:r>
            <w:r w:rsidRPr="00401057">
              <w:rPr>
                <w:color w:val="000000"/>
                <w:vertAlign w:val="superscript"/>
              </w:rPr>
              <w:t>o</w:t>
            </w:r>
            <w:r w:rsidRPr="00401057">
              <w:rPr>
                <w:color w:val="000000"/>
              </w:rPr>
              <w:t xml:space="preserve"> 2118/2002)</w:t>
            </w:r>
          </w:p>
          <w:p w14:paraId="3DABC025" w14:textId="77777777" w:rsidR="00430380" w:rsidRPr="00401057" w:rsidRDefault="00430380" w:rsidP="00401057">
            <w:pPr>
              <w:pStyle w:val="JuPara"/>
              <w:suppressAutoHyphens/>
              <w:ind w:left="360" w:firstLine="0"/>
              <w:jc w:val="left"/>
              <w:rPr>
                <w:color w:val="000000"/>
              </w:rPr>
            </w:pPr>
            <w:r w:rsidRPr="00401057">
              <w:rPr>
                <w:color w:val="000000"/>
              </w:rPr>
              <w:t>Fin de la procédure : 6 juillet 2016</w:t>
            </w:r>
          </w:p>
          <w:p w14:paraId="00F71241" w14:textId="77777777" w:rsidR="00430380" w:rsidRPr="00401057" w:rsidRDefault="00430380" w:rsidP="00401057">
            <w:pPr>
              <w:pStyle w:val="JuPara"/>
              <w:ind w:firstLine="0"/>
              <w:jc w:val="left"/>
              <w:rPr>
                <w:b/>
                <w:u w:val="single"/>
              </w:rPr>
            </w:pPr>
          </w:p>
        </w:tc>
        <w:tc>
          <w:tcPr>
            <w:tcW w:w="923" w:type="pct"/>
          </w:tcPr>
          <w:p w14:paraId="2183EDAE" w14:textId="77777777" w:rsidR="00430380" w:rsidRPr="00401057" w:rsidRDefault="00430380" w:rsidP="00401057">
            <w:pPr>
              <w:pStyle w:val="JuPara"/>
              <w:ind w:firstLine="0"/>
              <w:jc w:val="center"/>
            </w:pPr>
          </w:p>
          <w:p w14:paraId="5D41EA2D" w14:textId="77777777" w:rsidR="00430380" w:rsidRPr="00401057" w:rsidRDefault="00430380" w:rsidP="00401057">
            <w:pPr>
              <w:pStyle w:val="JuPara"/>
              <w:ind w:firstLine="0"/>
              <w:jc w:val="center"/>
            </w:pPr>
            <w:r w:rsidRPr="00401057">
              <w:t>F. PASQUARIELLO</w:t>
            </w:r>
          </w:p>
        </w:tc>
      </w:tr>
      <w:tr w:rsidR="0050598E" w:rsidRPr="00401057" w14:paraId="5849560E" w14:textId="77777777" w:rsidTr="00630A01">
        <w:tc>
          <w:tcPr>
            <w:tcW w:w="868" w:type="pct"/>
            <w:shd w:val="clear" w:color="auto" w:fill="auto"/>
            <w:vAlign w:val="center"/>
          </w:tcPr>
          <w:p w14:paraId="553D42DD" w14:textId="77777777" w:rsidR="00430380" w:rsidRPr="00401057" w:rsidRDefault="00430380" w:rsidP="00401057">
            <w:pPr>
              <w:pStyle w:val="JuPara"/>
              <w:ind w:firstLine="0"/>
              <w:jc w:val="center"/>
              <w:rPr>
                <w:b/>
                <w:color w:val="000000"/>
              </w:rPr>
            </w:pPr>
          </w:p>
          <w:p w14:paraId="2A3B04B5" w14:textId="77777777" w:rsidR="00430380" w:rsidRPr="00401057" w:rsidRDefault="00430380" w:rsidP="00401057">
            <w:pPr>
              <w:pStyle w:val="JuPara"/>
              <w:ind w:firstLine="0"/>
              <w:jc w:val="center"/>
              <w:rPr>
                <w:b/>
                <w:color w:val="000000"/>
              </w:rPr>
            </w:pPr>
            <w:r w:rsidRPr="00401057">
              <w:rPr>
                <w:b/>
                <w:color w:val="000000"/>
              </w:rPr>
              <w:t>10767/15</w:t>
            </w:r>
          </w:p>
          <w:p w14:paraId="37B57768" w14:textId="08707365" w:rsidR="008008B8" w:rsidRPr="00401057" w:rsidRDefault="00430380" w:rsidP="00401057">
            <w:pPr>
              <w:pStyle w:val="JuPara"/>
              <w:ind w:firstLine="0"/>
              <w:jc w:val="center"/>
              <w:rPr>
                <w:b/>
                <w:color w:val="000000"/>
              </w:rPr>
            </w:pPr>
            <w:r w:rsidRPr="00401057">
              <w:rPr>
                <w:b/>
                <w:color w:val="000000"/>
              </w:rPr>
              <w:t>D</w:t>
            </w:r>
            <w:r w:rsidR="00EC7A41" w:rsidRPr="00401057">
              <w:rPr>
                <w:b/>
                <w:color w:val="000000"/>
              </w:rPr>
              <w:t>e</w:t>
            </w:r>
            <w:r w:rsidRPr="00401057">
              <w:rPr>
                <w:b/>
                <w:color w:val="000000"/>
              </w:rPr>
              <w:t xml:space="preserve"> B</w:t>
            </w:r>
            <w:r w:rsidR="00EC7A41" w:rsidRPr="00401057">
              <w:rPr>
                <w:b/>
                <w:color w:val="000000"/>
              </w:rPr>
              <w:t>lasio</w:t>
            </w:r>
          </w:p>
          <w:p w14:paraId="3530673A" w14:textId="74568EE9" w:rsidR="00430380" w:rsidRPr="00401057" w:rsidRDefault="00430380" w:rsidP="00401057">
            <w:pPr>
              <w:pStyle w:val="JuPara"/>
              <w:ind w:firstLine="0"/>
              <w:jc w:val="center"/>
              <w:rPr>
                <w:b/>
                <w:color w:val="000000"/>
              </w:rPr>
            </w:pPr>
            <w:r w:rsidRPr="00401057">
              <w:rPr>
                <w:b/>
                <w:color w:val="000000"/>
              </w:rPr>
              <w:t>c. Italie</w:t>
            </w:r>
          </w:p>
          <w:p w14:paraId="1CF4DCE3" w14:textId="77777777" w:rsidR="00430380" w:rsidRPr="00401057" w:rsidRDefault="00430380" w:rsidP="00401057">
            <w:pPr>
              <w:pStyle w:val="JuPara"/>
              <w:ind w:firstLine="0"/>
              <w:jc w:val="center"/>
              <w:rPr>
                <w:bCs/>
                <w:color w:val="000000"/>
              </w:rPr>
            </w:pPr>
            <w:r w:rsidRPr="00401057">
              <w:rPr>
                <w:bCs/>
                <w:color w:val="000000"/>
              </w:rPr>
              <w:t>Introduite le 10/02/2015</w:t>
            </w:r>
          </w:p>
          <w:p w14:paraId="78CAA882" w14:textId="77777777" w:rsidR="00430380" w:rsidRPr="00401057" w:rsidRDefault="00430380" w:rsidP="00401057">
            <w:pPr>
              <w:pStyle w:val="JuPara"/>
              <w:ind w:firstLine="0"/>
              <w:jc w:val="center"/>
              <w:rPr>
                <w:b/>
                <w:color w:val="000000"/>
              </w:rPr>
            </w:pPr>
          </w:p>
          <w:p w14:paraId="11AF7E56" w14:textId="6D82F186" w:rsidR="00430380" w:rsidRPr="00401057" w:rsidRDefault="00430380" w:rsidP="00401057">
            <w:pPr>
              <w:pStyle w:val="JuPara"/>
              <w:ind w:firstLine="0"/>
              <w:jc w:val="center"/>
              <w:rPr>
                <w:bCs/>
                <w:color w:val="000000"/>
              </w:rPr>
            </w:pPr>
            <w:r w:rsidRPr="00401057">
              <w:rPr>
                <w:bCs/>
                <w:color w:val="000000"/>
              </w:rPr>
              <w:t>Z</w:t>
            </w:r>
            <w:r w:rsidR="00EC7A41" w:rsidRPr="00401057">
              <w:rPr>
                <w:bCs/>
                <w:color w:val="000000"/>
              </w:rPr>
              <w:t>.</w:t>
            </w:r>
            <w:r w:rsidRPr="00401057">
              <w:rPr>
                <w:bCs/>
                <w:color w:val="000000"/>
              </w:rPr>
              <w:t xml:space="preserve"> DE BLASIO</w:t>
            </w:r>
          </w:p>
          <w:p w14:paraId="148E6D81" w14:textId="5378930C" w:rsidR="00430380" w:rsidRPr="00401057" w:rsidRDefault="00EC7A41" w:rsidP="00401057">
            <w:pPr>
              <w:pStyle w:val="JuPara"/>
              <w:ind w:firstLine="0"/>
              <w:jc w:val="center"/>
              <w:rPr>
                <w:b/>
                <w:color w:val="000000"/>
              </w:rPr>
            </w:pPr>
            <w:r w:rsidRPr="00401057">
              <w:rPr>
                <w:bCs/>
                <w:color w:val="000000"/>
              </w:rPr>
              <w:t>r</w:t>
            </w:r>
            <w:r w:rsidR="00430380" w:rsidRPr="00401057">
              <w:rPr>
                <w:bCs/>
                <w:color w:val="000000"/>
              </w:rPr>
              <w:t>essortissant italien né en 1937</w:t>
            </w:r>
          </w:p>
        </w:tc>
        <w:tc>
          <w:tcPr>
            <w:tcW w:w="979" w:type="pct"/>
            <w:shd w:val="clear" w:color="auto" w:fill="auto"/>
            <w:vAlign w:val="center"/>
          </w:tcPr>
          <w:p w14:paraId="370BB38C" w14:textId="3792B75F" w:rsidR="00430380" w:rsidRPr="00401057" w:rsidRDefault="00430380" w:rsidP="00401057">
            <w:pPr>
              <w:pStyle w:val="JuPara"/>
              <w:ind w:firstLine="0"/>
              <w:jc w:val="center"/>
            </w:pPr>
            <w:r w:rsidRPr="00401057">
              <w:t>13 ans et 3 mois pour trois degrés de juridiction</w:t>
            </w:r>
          </w:p>
        </w:tc>
        <w:tc>
          <w:tcPr>
            <w:tcW w:w="2230" w:type="pct"/>
            <w:shd w:val="clear" w:color="auto" w:fill="auto"/>
          </w:tcPr>
          <w:p w14:paraId="56F3D8DA" w14:textId="77777777" w:rsidR="00430380" w:rsidRPr="00401057" w:rsidRDefault="00430380" w:rsidP="00401057">
            <w:pPr>
              <w:pStyle w:val="JuPara"/>
              <w:ind w:firstLine="0"/>
              <w:jc w:val="left"/>
              <w:rPr>
                <w:b/>
                <w:color w:val="000000"/>
                <w:u w:val="single"/>
              </w:rPr>
            </w:pPr>
          </w:p>
          <w:p w14:paraId="63D2F89D" w14:textId="77777777" w:rsidR="00430380" w:rsidRPr="00401057" w:rsidRDefault="00430380" w:rsidP="00401057">
            <w:pPr>
              <w:pStyle w:val="JuPara"/>
              <w:ind w:firstLine="0"/>
              <w:jc w:val="left"/>
              <w:rPr>
                <w:color w:val="000000"/>
              </w:rPr>
            </w:pPr>
            <w:r w:rsidRPr="00401057">
              <w:rPr>
                <w:b/>
                <w:color w:val="000000"/>
                <w:u w:val="single"/>
              </w:rPr>
              <w:t>Autorité judiciaire</w:t>
            </w:r>
            <w:r w:rsidRPr="00401057">
              <w:rPr>
                <w:color w:val="000000"/>
              </w:rPr>
              <w:t> :</w:t>
            </w:r>
          </w:p>
          <w:p w14:paraId="2F987B93" w14:textId="77777777" w:rsidR="00430380" w:rsidRPr="00401057" w:rsidRDefault="00430380" w:rsidP="00401057">
            <w:pPr>
              <w:pStyle w:val="JuPara"/>
              <w:numPr>
                <w:ilvl w:val="0"/>
                <w:numId w:val="4"/>
              </w:numPr>
              <w:jc w:val="left"/>
              <w:rPr>
                <w:color w:val="000000"/>
              </w:rPr>
            </w:pPr>
            <w:r w:rsidRPr="00401057">
              <w:rPr>
                <w:color w:val="000000"/>
              </w:rPr>
              <w:t>Tribunal de Benevento</w:t>
            </w:r>
          </w:p>
          <w:p w14:paraId="07C97665" w14:textId="77777777" w:rsidR="00430380" w:rsidRPr="00401057" w:rsidRDefault="00430380" w:rsidP="00401057">
            <w:pPr>
              <w:pStyle w:val="JuPara"/>
              <w:ind w:left="360" w:firstLine="0"/>
              <w:jc w:val="left"/>
              <w:rPr>
                <w:color w:val="000000"/>
              </w:rPr>
            </w:pPr>
            <w:r w:rsidRPr="00401057">
              <w:rPr>
                <w:color w:val="000000"/>
              </w:rPr>
              <w:t>(R.G. n</w:t>
            </w:r>
            <w:r w:rsidRPr="00401057">
              <w:rPr>
                <w:color w:val="000000"/>
                <w:vertAlign w:val="superscript"/>
              </w:rPr>
              <w:t>o</w:t>
            </w:r>
            <w:r w:rsidRPr="00401057">
              <w:rPr>
                <w:color w:val="000000"/>
              </w:rPr>
              <w:t xml:space="preserve"> 1577/1989)</w:t>
            </w:r>
          </w:p>
          <w:p w14:paraId="56CFB8D0" w14:textId="77777777" w:rsidR="00430380" w:rsidRPr="00401057" w:rsidRDefault="00430380" w:rsidP="00401057">
            <w:pPr>
              <w:pStyle w:val="JuPara"/>
              <w:ind w:left="360" w:firstLine="0"/>
              <w:jc w:val="left"/>
              <w:rPr>
                <w:color w:val="000000"/>
              </w:rPr>
            </w:pPr>
            <w:r w:rsidRPr="00401057">
              <w:rPr>
                <w:color w:val="000000"/>
              </w:rPr>
              <w:t>Début de la procédure : 13 septembre 1988</w:t>
            </w:r>
          </w:p>
          <w:p w14:paraId="79F1DF46" w14:textId="77777777" w:rsidR="00430380" w:rsidRPr="00401057" w:rsidRDefault="00430380" w:rsidP="00401057">
            <w:pPr>
              <w:pStyle w:val="JuPara"/>
              <w:ind w:left="360" w:firstLine="0"/>
              <w:jc w:val="left"/>
              <w:rPr>
                <w:color w:val="000000"/>
              </w:rPr>
            </w:pPr>
            <w:r w:rsidRPr="00401057">
              <w:rPr>
                <w:color w:val="000000"/>
              </w:rPr>
              <w:t>Fin de la procédure : 4 septembre 1992</w:t>
            </w:r>
          </w:p>
          <w:p w14:paraId="4F0F66DB" w14:textId="77777777" w:rsidR="00430380" w:rsidRPr="00401057" w:rsidRDefault="00430380" w:rsidP="00401057">
            <w:pPr>
              <w:pStyle w:val="JuPara"/>
              <w:ind w:left="360" w:firstLine="0"/>
              <w:jc w:val="left"/>
              <w:rPr>
                <w:color w:val="000000"/>
              </w:rPr>
            </w:pPr>
          </w:p>
          <w:p w14:paraId="1CE9C517" w14:textId="77777777" w:rsidR="00430380" w:rsidRPr="00401057" w:rsidRDefault="00430380" w:rsidP="00401057">
            <w:pPr>
              <w:pStyle w:val="JuPara"/>
              <w:numPr>
                <w:ilvl w:val="0"/>
                <w:numId w:val="3"/>
              </w:numPr>
              <w:jc w:val="left"/>
              <w:rPr>
                <w:color w:val="000000"/>
                <w:lang w:val="pt-PT"/>
              </w:rPr>
            </w:pPr>
            <w:r w:rsidRPr="00401057">
              <w:rPr>
                <w:color w:val="000000"/>
                <w:lang w:val="pt-PT"/>
              </w:rPr>
              <w:t>Tribunal de Benevento</w:t>
            </w:r>
          </w:p>
          <w:p w14:paraId="4F3ABB8D" w14:textId="77777777" w:rsidR="00430380" w:rsidRPr="00401057" w:rsidRDefault="00430380" w:rsidP="00401057">
            <w:pPr>
              <w:pStyle w:val="JuPara"/>
              <w:ind w:left="360" w:firstLine="0"/>
              <w:jc w:val="left"/>
              <w:rPr>
                <w:color w:val="000000"/>
                <w:lang w:val="pt-PT"/>
              </w:rPr>
            </w:pPr>
            <w:r w:rsidRPr="00401057">
              <w:rPr>
                <w:color w:val="000000"/>
                <w:lang w:val="pt-PT"/>
              </w:rPr>
              <w:t>(R.G. n</w:t>
            </w:r>
            <w:r w:rsidRPr="00401057">
              <w:rPr>
                <w:color w:val="000000"/>
                <w:vertAlign w:val="superscript"/>
                <w:lang w:val="pt-PT"/>
              </w:rPr>
              <w:t>o</w:t>
            </w:r>
            <w:r w:rsidRPr="00401057">
              <w:rPr>
                <w:color w:val="000000"/>
                <w:lang w:val="pt-PT"/>
              </w:rPr>
              <w:t xml:space="preserve"> 1995/1999)</w:t>
            </w:r>
          </w:p>
          <w:p w14:paraId="1B39F2E8" w14:textId="300A875C" w:rsidR="00430380" w:rsidRPr="00401057" w:rsidRDefault="00430380" w:rsidP="00401057">
            <w:pPr>
              <w:pStyle w:val="JuPara"/>
              <w:ind w:left="360" w:firstLine="0"/>
              <w:jc w:val="left"/>
              <w:rPr>
                <w:color w:val="000000"/>
              </w:rPr>
            </w:pPr>
            <w:r w:rsidRPr="00401057">
              <w:rPr>
                <w:color w:val="000000"/>
              </w:rPr>
              <w:t>Début de la procédure</w:t>
            </w:r>
            <w:r w:rsidR="00966B1B" w:rsidRPr="00401057">
              <w:rPr>
                <w:color w:val="000000"/>
              </w:rPr>
              <w:t xml:space="preserve"> </w:t>
            </w:r>
            <w:r w:rsidRPr="00401057">
              <w:rPr>
                <w:color w:val="000000"/>
              </w:rPr>
              <w:t>: 17 septembre 1999</w:t>
            </w:r>
          </w:p>
          <w:p w14:paraId="19286A3A" w14:textId="77777777" w:rsidR="00430380" w:rsidRPr="00401057" w:rsidRDefault="00430380" w:rsidP="00401057">
            <w:pPr>
              <w:pStyle w:val="JuPara"/>
              <w:ind w:left="360" w:firstLine="0"/>
              <w:jc w:val="left"/>
              <w:rPr>
                <w:color w:val="000000"/>
              </w:rPr>
            </w:pPr>
            <w:r w:rsidRPr="00401057">
              <w:rPr>
                <w:color w:val="000000"/>
              </w:rPr>
              <w:t>Fin de la procédure : 22 décembre 2006</w:t>
            </w:r>
          </w:p>
          <w:p w14:paraId="3E7FF289" w14:textId="77777777" w:rsidR="00430380" w:rsidRPr="00401057" w:rsidRDefault="00430380" w:rsidP="00401057">
            <w:pPr>
              <w:pStyle w:val="JuPara"/>
              <w:ind w:left="360" w:firstLine="0"/>
              <w:jc w:val="left"/>
              <w:rPr>
                <w:color w:val="000000"/>
              </w:rPr>
            </w:pPr>
          </w:p>
          <w:p w14:paraId="4D8845D7" w14:textId="77777777" w:rsidR="00430380" w:rsidRPr="00401057" w:rsidRDefault="00430380" w:rsidP="00401057">
            <w:pPr>
              <w:pStyle w:val="JuPara"/>
              <w:numPr>
                <w:ilvl w:val="0"/>
                <w:numId w:val="3"/>
              </w:numPr>
              <w:jc w:val="left"/>
              <w:rPr>
                <w:color w:val="000000"/>
              </w:rPr>
            </w:pPr>
            <w:r w:rsidRPr="00401057">
              <w:rPr>
                <w:color w:val="000000"/>
              </w:rPr>
              <w:t>Tribunal de Benevento</w:t>
            </w:r>
          </w:p>
          <w:p w14:paraId="7FEC1B4C" w14:textId="77777777" w:rsidR="00430380" w:rsidRPr="00401057" w:rsidRDefault="00430380" w:rsidP="00401057">
            <w:pPr>
              <w:pStyle w:val="JuPara"/>
              <w:ind w:left="360" w:firstLine="0"/>
              <w:jc w:val="left"/>
              <w:rPr>
                <w:color w:val="000000"/>
              </w:rPr>
            </w:pPr>
            <w:r w:rsidRPr="00401057">
              <w:rPr>
                <w:color w:val="000000"/>
              </w:rPr>
              <w:t>(R.G. n</w:t>
            </w:r>
            <w:r w:rsidRPr="00401057">
              <w:rPr>
                <w:color w:val="000000"/>
                <w:vertAlign w:val="superscript"/>
              </w:rPr>
              <w:t>o</w:t>
            </w:r>
            <w:r w:rsidRPr="00401057">
              <w:rPr>
                <w:color w:val="000000"/>
              </w:rPr>
              <w:t xml:space="preserve"> 573/2014)</w:t>
            </w:r>
          </w:p>
          <w:p w14:paraId="1FE03CC8" w14:textId="77777777" w:rsidR="00430380" w:rsidRPr="00401057" w:rsidRDefault="00430380" w:rsidP="00401057">
            <w:pPr>
              <w:pStyle w:val="JuPara"/>
              <w:ind w:left="360" w:firstLine="0"/>
              <w:jc w:val="left"/>
              <w:rPr>
                <w:color w:val="000000"/>
              </w:rPr>
            </w:pPr>
            <w:r w:rsidRPr="00401057">
              <w:rPr>
                <w:color w:val="000000"/>
              </w:rPr>
              <w:t>Début de la procédure : 17 novembre 2014</w:t>
            </w:r>
          </w:p>
          <w:p w14:paraId="78887608" w14:textId="77777777" w:rsidR="00430380" w:rsidRPr="00401057" w:rsidRDefault="00430380" w:rsidP="00401057">
            <w:pPr>
              <w:pStyle w:val="JuPara"/>
              <w:ind w:left="360" w:firstLine="0"/>
              <w:jc w:val="left"/>
              <w:rPr>
                <w:color w:val="000000"/>
              </w:rPr>
            </w:pPr>
            <w:r w:rsidRPr="00401057">
              <w:rPr>
                <w:color w:val="000000"/>
              </w:rPr>
              <w:t>Fin de la procédure : 30 novembre 2016</w:t>
            </w:r>
          </w:p>
          <w:p w14:paraId="262505A5" w14:textId="77777777" w:rsidR="00430380" w:rsidRPr="00401057" w:rsidRDefault="00430380" w:rsidP="00401057">
            <w:pPr>
              <w:pStyle w:val="JuPara"/>
              <w:ind w:firstLine="0"/>
              <w:jc w:val="left"/>
              <w:rPr>
                <w:color w:val="000000"/>
              </w:rPr>
            </w:pPr>
          </w:p>
        </w:tc>
        <w:tc>
          <w:tcPr>
            <w:tcW w:w="923" w:type="pct"/>
          </w:tcPr>
          <w:p w14:paraId="755664C7" w14:textId="77777777" w:rsidR="00430380" w:rsidRPr="00401057" w:rsidRDefault="00430380" w:rsidP="00401057">
            <w:pPr>
              <w:pStyle w:val="JuPara"/>
              <w:ind w:firstLine="0"/>
              <w:jc w:val="center"/>
            </w:pPr>
          </w:p>
          <w:p w14:paraId="0E651E55" w14:textId="77777777" w:rsidR="00430380" w:rsidRPr="00401057" w:rsidRDefault="00430380" w:rsidP="00401057">
            <w:pPr>
              <w:pStyle w:val="JuPara"/>
              <w:ind w:firstLine="0"/>
              <w:jc w:val="center"/>
              <w:rPr>
                <w:lang w:val="es-ES"/>
              </w:rPr>
            </w:pPr>
            <w:r w:rsidRPr="00401057">
              <w:t xml:space="preserve"> </w:t>
            </w:r>
            <w:r w:rsidRPr="00401057">
              <w:rPr>
                <w:lang w:val="es-ES"/>
              </w:rPr>
              <w:t>L. LIBERTI</w:t>
            </w:r>
          </w:p>
        </w:tc>
      </w:tr>
      <w:tr w:rsidR="0050598E" w:rsidRPr="00401057" w14:paraId="3097F9E9" w14:textId="77777777" w:rsidTr="00630A01">
        <w:tc>
          <w:tcPr>
            <w:tcW w:w="868" w:type="pct"/>
            <w:shd w:val="clear" w:color="auto" w:fill="auto"/>
            <w:vAlign w:val="center"/>
          </w:tcPr>
          <w:p w14:paraId="10773340" w14:textId="77777777" w:rsidR="00430380" w:rsidRPr="00401057" w:rsidRDefault="00430380" w:rsidP="00401057">
            <w:pPr>
              <w:pStyle w:val="JuPara"/>
              <w:ind w:firstLine="0"/>
              <w:jc w:val="center"/>
              <w:rPr>
                <w:b/>
                <w:color w:val="000000"/>
                <w:lang w:val="it-IT"/>
              </w:rPr>
            </w:pPr>
          </w:p>
          <w:p w14:paraId="47F5E1C3" w14:textId="77777777" w:rsidR="00430380" w:rsidRPr="00401057" w:rsidRDefault="00430380" w:rsidP="00401057">
            <w:pPr>
              <w:pStyle w:val="JuPara"/>
              <w:ind w:firstLine="0"/>
              <w:jc w:val="center"/>
              <w:rPr>
                <w:b/>
                <w:color w:val="000000"/>
                <w:lang w:val="it-IT"/>
              </w:rPr>
            </w:pPr>
            <w:r w:rsidRPr="00401057">
              <w:rPr>
                <w:b/>
                <w:color w:val="000000"/>
                <w:lang w:val="it-IT"/>
              </w:rPr>
              <w:t>21564/15</w:t>
            </w:r>
          </w:p>
          <w:p w14:paraId="2BB8ADE7" w14:textId="20517AFD" w:rsidR="008008B8" w:rsidRPr="00401057" w:rsidRDefault="00430380" w:rsidP="00401057">
            <w:pPr>
              <w:pStyle w:val="JuPara"/>
              <w:ind w:firstLine="0"/>
              <w:jc w:val="center"/>
              <w:rPr>
                <w:b/>
                <w:color w:val="000000"/>
                <w:lang w:val="it-IT"/>
              </w:rPr>
            </w:pPr>
            <w:r w:rsidRPr="00401057">
              <w:rPr>
                <w:b/>
                <w:color w:val="000000"/>
                <w:lang w:val="it-IT"/>
              </w:rPr>
              <w:t>G</w:t>
            </w:r>
            <w:r w:rsidR="00EC7A41" w:rsidRPr="00401057">
              <w:rPr>
                <w:b/>
                <w:color w:val="000000"/>
                <w:lang w:val="it-IT"/>
              </w:rPr>
              <w:t>iardina</w:t>
            </w:r>
          </w:p>
          <w:p w14:paraId="3EE2C291" w14:textId="47B2A6E0" w:rsidR="00430380" w:rsidRPr="00401057" w:rsidRDefault="00430380" w:rsidP="00401057">
            <w:pPr>
              <w:pStyle w:val="JuPara"/>
              <w:ind w:firstLine="0"/>
              <w:jc w:val="center"/>
              <w:rPr>
                <w:b/>
                <w:color w:val="000000"/>
                <w:lang w:val="it-IT"/>
              </w:rPr>
            </w:pPr>
            <w:r w:rsidRPr="00401057">
              <w:rPr>
                <w:b/>
                <w:color w:val="000000"/>
                <w:lang w:val="it-IT"/>
              </w:rPr>
              <w:t>c. Italie</w:t>
            </w:r>
          </w:p>
          <w:p w14:paraId="1C4F0E84" w14:textId="2AA7C55B" w:rsidR="00430380" w:rsidRPr="00401057" w:rsidRDefault="00430380" w:rsidP="00401057">
            <w:pPr>
              <w:pStyle w:val="JuPara"/>
              <w:ind w:firstLine="0"/>
              <w:jc w:val="center"/>
              <w:rPr>
                <w:bCs/>
                <w:color w:val="000000"/>
                <w:lang w:val="it-IT"/>
              </w:rPr>
            </w:pPr>
            <w:r w:rsidRPr="00401057">
              <w:rPr>
                <w:bCs/>
                <w:color w:val="000000"/>
                <w:lang w:val="it-IT"/>
              </w:rPr>
              <w:t>Introduite le</w:t>
            </w:r>
            <w:r w:rsidR="00966B1B" w:rsidRPr="00401057">
              <w:rPr>
                <w:bCs/>
                <w:color w:val="000000"/>
                <w:lang w:val="it-IT"/>
              </w:rPr>
              <w:t xml:space="preserve"> 04/05/</w:t>
            </w:r>
            <w:r w:rsidRPr="00401057">
              <w:rPr>
                <w:bCs/>
                <w:color w:val="000000"/>
                <w:lang w:val="it-IT"/>
              </w:rPr>
              <w:t>2015</w:t>
            </w:r>
          </w:p>
          <w:p w14:paraId="1FECAFA1" w14:textId="01F3DE94" w:rsidR="00430380" w:rsidRPr="00401057" w:rsidRDefault="00430380" w:rsidP="00401057">
            <w:pPr>
              <w:pStyle w:val="JuPara"/>
              <w:ind w:firstLine="0"/>
              <w:jc w:val="center"/>
              <w:rPr>
                <w:bCs/>
                <w:color w:val="000000"/>
                <w:lang w:val="it-IT"/>
              </w:rPr>
            </w:pPr>
          </w:p>
          <w:p w14:paraId="03AE7CC1" w14:textId="77777777" w:rsidR="00EC7A41" w:rsidRPr="00401057" w:rsidRDefault="00EC7A41" w:rsidP="00401057">
            <w:pPr>
              <w:pStyle w:val="JuPara"/>
              <w:ind w:firstLine="0"/>
              <w:jc w:val="center"/>
              <w:rPr>
                <w:bCs/>
                <w:color w:val="000000"/>
                <w:lang w:val="it-IT"/>
              </w:rPr>
            </w:pPr>
          </w:p>
          <w:p w14:paraId="6C82F76C" w14:textId="77777777" w:rsidR="0050598E" w:rsidRPr="00401057" w:rsidRDefault="0050598E" w:rsidP="00401057">
            <w:pPr>
              <w:pStyle w:val="JuPara"/>
              <w:ind w:firstLine="0"/>
              <w:jc w:val="center"/>
              <w:rPr>
                <w:bCs/>
                <w:color w:val="000000"/>
                <w:lang w:val="it-IT"/>
              </w:rPr>
            </w:pPr>
          </w:p>
          <w:p w14:paraId="561A6683" w14:textId="4555A6FC" w:rsidR="00430380" w:rsidRPr="00401057" w:rsidRDefault="00430380" w:rsidP="00401057">
            <w:pPr>
              <w:pStyle w:val="JuPara"/>
              <w:ind w:firstLine="0"/>
              <w:jc w:val="center"/>
              <w:rPr>
                <w:bCs/>
                <w:color w:val="000000"/>
                <w:lang w:val="it-IT"/>
              </w:rPr>
            </w:pPr>
            <w:r w:rsidRPr="00401057">
              <w:rPr>
                <w:bCs/>
                <w:color w:val="000000"/>
                <w:lang w:val="it-IT"/>
              </w:rPr>
              <w:t>S</w:t>
            </w:r>
            <w:r w:rsidR="00EC7A41" w:rsidRPr="00401057">
              <w:rPr>
                <w:bCs/>
                <w:color w:val="000000"/>
                <w:lang w:val="it-IT"/>
              </w:rPr>
              <w:t xml:space="preserve">. </w:t>
            </w:r>
            <w:r w:rsidRPr="00401057">
              <w:rPr>
                <w:bCs/>
                <w:color w:val="000000"/>
                <w:lang w:val="it-IT"/>
              </w:rPr>
              <w:t>GIARDINA</w:t>
            </w:r>
          </w:p>
          <w:p w14:paraId="4DDBA42E" w14:textId="184665E2" w:rsidR="00430380" w:rsidRPr="00401057" w:rsidRDefault="00EC7A41" w:rsidP="00401057">
            <w:pPr>
              <w:pStyle w:val="JuPara"/>
              <w:ind w:firstLine="0"/>
              <w:jc w:val="center"/>
              <w:rPr>
                <w:bCs/>
                <w:color w:val="000000"/>
                <w:lang w:val="it-IT"/>
              </w:rPr>
            </w:pPr>
            <w:r w:rsidRPr="00401057">
              <w:rPr>
                <w:bCs/>
                <w:color w:val="000000"/>
                <w:lang w:val="it-IT"/>
              </w:rPr>
              <w:t>r</w:t>
            </w:r>
            <w:r w:rsidR="00430380" w:rsidRPr="00401057">
              <w:rPr>
                <w:bCs/>
                <w:color w:val="000000"/>
                <w:lang w:val="it-IT"/>
              </w:rPr>
              <w:t>essortissant italien né en 1952</w:t>
            </w:r>
          </w:p>
        </w:tc>
        <w:tc>
          <w:tcPr>
            <w:tcW w:w="979" w:type="pct"/>
            <w:shd w:val="clear" w:color="auto" w:fill="auto"/>
            <w:vAlign w:val="center"/>
          </w:tcPr>
          <w:p w14:paraId="7E364476" w14:textId="77777777" w:rsidR="00430380" w:rsidRPr="00401057" w:rsidRDefault="00430380" w:rsidP="00401057">
            <w:pPr>
              <w:pStyle w:val="JuPara"/>
              <w:ind w:firstLine="0"/>
              <w:jc w:val="center"/>
            </w:pPr>
            <w:r w:rsidRPr="00401057">
              <w:t>24 ans et 2 mois pour deux degrés de juridiction</w:t>
            </w:r>
          </w:p>
        </w:tc>
        <w:tc>
          <w:tcPr>
            <w:tcW w:w="2230" w:type="pct"/>
            <w:shd w:val="clear" w:color="auto" w:fill="auto"/>
          </w:tcPr>
          <w:p w14:paraId="02ED5536" w14:textId="77777777" w:rsidR="00430380" w:rsidRPr="00401057" w:rsidRDefault="00430380" w:rsidP="00401057">
            <w:pPr>
              <w:pStyle w:val="JuPara"/>
              <w:ind w:firstLine="0"/>
              <w:jc w:val="left"/>
              <w:rPr>
                <w:color w:val="000000"/>
              </w:rPr>
            </w:pPr>
          </w:p>
          <w:p w14:paraId="65EAB349" w14:textId="77777777" w:rsidR="00430380" w:rsidRPr="00401057" w:rsidRDefault="00430380" w:rsidP="00401057">
            <w:pPr>
              <w:pStyle w:val="JuPara"/>
              <w:ind w:firstLine="0"/>
              <w:jc w:val="left"/>
              <w:rPr>
                <w:b/>
                <w:bCs/>
                <w:color w:val="000000"/>
                <w:u w:val="single"/>
              </w:rPr>
            </w:pPr>
            <w:r w:rsidRPr="00401057">
              <w:rPr>
                <w:b/>
                <w:bCs/>
                <w:color w:val="000000"/>
                <w:u w:val="single"/>
              </w:rPr>
              <w:t>Autorité judiciaire :</w:t>
            </w:r>
          </w:p>
          <w:p w14:paraId="77ECD9F9" w14:textId="77777777" w:rsidR="00430380" w:rsidRPr="00401057" w:rsidRDefault="00430380" w:rsidP="00401057">
            <w:pPr>
              <w:pStyle w:val="JuPara"/>
              <w:numPr>
                <w:ilvl w:val="0"/>
                <w:numId w:val="4"/>
              </w:numPr>
              <w:jc w:val="left"/>
              <w:rPr>
                <w:color w:val="000000"/>
              </w:rPr>
            </w:pPr>
            <w:r w:rsidRPr="00401057">
              <w:rPr>
                <w:color w:val="000000"/>
              </w:rPr>
              <w:t>Tribunal de Mistretta</w:t>
            </w:r>
          </w:p>
          <w:p w14:paraId="54733039" w14:textId="77777777" w:rsidR="00430380" w:rsidRPr="00401057" w:rsidRDefault="00430380" w:rsidP="00401057">
            <w:pPr>
              <w:pStyle w:val="JuPara"/>
              <w:ind w:left="360" w:firstLine="0"/>
              <w:jc w:val="left"/>
              <w:rPr>
                <w:color w:val="000000"/>
              </w:rPr>
            </w:pPr>
            <w:r w:rsidRPr="00401057">
              <w:rPr>
                <w:color w:val="000000"/>
              </w:rPr>
              <w:t>(R.G. n</w:t>
            </w:r>
            <w:r w:rsidRPr="00401057">
              <w:rPr>
                <w:color w:val="000000"/>
                <w:vertAlign w:val="superscript"/>
              </w:rPr>
              <w:t>o</w:t>
            </w:r>
            <w:r w:rsidRPr="00401057">
              <w:rPr>
                <w:color w:val="000000"/>
              </w:rPr>
              <w:t xml:space="preserve"> 41/1991)</w:t>
            </w:r>
          </w:p>
          <w:p w14:paraId="620DE3D4" w14:textId="77777777" w:rsidR="00430380" w:rsidRPr="00401057" w:rsidRDefault="00430380" w:rsidP="00401057">
            <w:pPr>
              <w:pStyle w:val="JuPara"/>
              <w:ind w:left="360" w:firstLine="0"/>
              <w:jc w:val="left"/>
              <w:rPr>
                <w:color w:val="000000"/>
              </w:rPr>
            </w:pPr>
            <w:r w:rsidRPr="00401057">
              <w:rPr>
                <w:color w:val="000000"/>
              </w:rPr>
              <w:t>Début de la procédure : 22 février 1991</w:t>
            </w:r>
          </w:p>
          <w:p w14:paraId="49EA3626" w14:textId="77777777" w:rsidR="00430380" w:rsidRPr="00401057" w:rsidRDefault="00430380" w:rsidP="00401057">
            <w:pPr>
              <w:pStyle w:val="JuPara"/>
              <w:ind w:left="360" w:firstLine="0"/>
              <w:jc w:val="left"/>
              <w:rPr>
                <w:color w:val="000000"/>
              </w:rPr>
            </w:pPr>
            <w:r w:rsidRPr="00401057">
              <w:rPr>
                <w:color w:val="000000"/>
              </w:rPr>
              <w:t>Fin de la procédure : 11 avril 2012</w:t>
            </w:r>
          </w:p>
          <w:p w14:paraId="392C2C7E" w14:textId="77777777" w:rsidR="00430380" w:rsidRPr="00401057" w:rsidRDefault="00430380" w:rsidP="00401057">
            <w:pPr>
              <w:pStyle w:val="JuPara"/>
              <w:ind w:left="360" w:firstLine="0"/>
              <w:jc w:val="left"/>
              <w:rPr>
                <w:color w:val="000000"/>
              </w:rPr>
            </w:pPr>
          </w:p>
          <w:p w14:paraId="6EB3ABB2" w14:textId="34A0F46D" w:rsidR="00430380" w:rsidRPr="00401057" w:rsidRDefault="00430380" w:rsidP="00401057">
            <w:pPr>
              <w:pStyle w:val="JuPara"/>
              <w:numPr>
                <w:ilvl w:val="0"/>
                <w:numId w:val="4"/>
              </w:numPr>
              <w:jc w:val="left"/>
              <w:rPr>
                <w:color w:val="000000"/>
              </w:rPr>
            </w:pPr>
            <w:r w:rsidRPr="00401057">
              <w:rPr>
                <w:color w:val="000000"/>
              </w:rPr>
              <w:t>Cour d</w:t>
            </w:r>
            <w:r w:rsidR="00401057" w:rsidRPr="00401057">
              <w:rPr>
                <w:color w:val="000000"/>
              </w:rPr>
              <w:t>’</w:t>
            </w:r>
            <w:r w:rsidRPr="00401057">
              <w:rPr>
                <w:color w:val="000000"/>
              </w:rPr>
              <w:t>appel de Messina</w:t>
            </w:r>
          </w:p>
          <w:p w14:paraId="7DCEC844" w14:textId="77777777" w:rsidR="00430380" w:rsidRPr="00401057" w:rsidRDefault="00430380" w:rsidP="00401057">
            <w:pPr>
              <w:pStyle w:val="JuPara"/>
              <w:ind w:left="360" w:firstLine="0"/>
              <w:jc w:val="left"/>
              <w:rPr>
                <w:color w:val="000000"/>
              </w:rPr>
            </w:pPr>
            <w:r w:rsidRPr="00401057">
              <w:rPr>
                <w:color w:val="000000"/>
              </w:rPr>
              <w:t>(R.G. n</w:t>
            </w:r>
            <w:r w:rsidRPr="00401057">
              <w:rPr>
                <w:color w:val="000000"/>
                <w:vertAlign w:val="superscript"/>
              </w:rPr>
              <w:t>o</w:t>
            </w:r>
            <w:r w:rsidRPr="00401057">
              <w:rPr>
                <w:color w:val="000000"/>
              </w:rPr>
              <w:t xml:space="preserve"> 341/2013)</w:t>
            </w:r>
          </w:p>
          <w:p w14:paraId="00E5DB9B" w14:textId="77777777" w:rsidR="00430380" w:rsidRPr="00401057" w:rsidRDefault="00430380" w:rsidP="00401057">
            <w:pPr>
              <w:pStyle w:val="JuPara"/>
              <w:ind w:left="360" w:firstLine="0"/>
              <w:jc w:val="left"/>
              <w:rPr>
                <w:color w:val="000000"/>
              </w:rPr>
            </w:pPr>
            <w:r w:rsidRPr="00401057">
              <w:rPr>
                <w:color w:val="000000"/>
              </w:rPr>
              <w:t>Début de la procédure : 31 mai 2013</w:t>
            </w:r>
          </w:p>
          <w:p w14:paraId="0D268960" w14:textId="77777777" w:rsidR="00430380" w:rsidRPr="00401057" w:rsidRDefault="00430380" w:rsidP="00401057">
            <w:pPr>
              <w:pStyle w:val="JuPara"/>
              <w:ind w:left="360" w:firstLine="0"/>
              <w:jc w:val="left"/>
              <w:rPr>
                <w:color w:val="000000"/>
              </w:rPr>
            </w:pPr>
            <w:r w:rsidRPr="00401057">
              <w:rPr>
                <w:color w:val="000000"/>
              </w:rPr>
              <w:t>Fin de la procédure : 18 mai 2016</w:t>
            </w:r>
          </w:p>
          <w:p w14:paraId="1A70E6F8" w14:textId="77777777" w:rsidR="00430380" w:rsidRPr="00401057" w:rsidRDefault="00430380" w:rsidP="00401057">
            <w:pPr>
              <w:pStyle w:val="JuPara"/>
              <w:ind w:left="360" w:firstLine="0"/>
              <w:jc w:val="left"/>
              <w:rPr>
                <w:color w:val="000000"/>
              </w:rPr>
            </w:pPr>
          </w:p>
          <w:p w14:paraId="785974D2" w14:textId="77777777" w:rsidR="00430380" w:rsidRPr="00401057" w:rsidRDefault="00430380" w:rsidP="00401057">
            <w:pPr>
              <w:pStyle w:val="JuPara"/>
              <w:jc w:val="left"/>
              <w:rPr>
                <w:color w:val="000000"/>
              </w:rPr>
            </w:pPr>
          </w:p>
          <w:p w14:paraId="1AE391BE" w14:textId="77777777" w:rsidR="00430380" w:rsidRPr="00401057" w:rsidRDefault="00430380" w:rsidP="00401057">
            <w:pPr>
              <w:pStyle w:val="JuPara"/>
              <w:ind w:left="360" w:firstLine="0"/>
              <w:jc w:val="left"/>
              <w:rPr>
                <w:color w:val="000000"/>
              </w:rPr>
            </w:pPr>
          </w:p>
        </w:tc>
        <w:tc>
          <w:tcPr>
            <w:tcW w:w="923" w:type="pct"/>
          </w:tcPr>
          <w:p w14:paraId="275AE20B" w14:textId="77777777" w:rsidR="00430380" w:rsidRPr="00401057" w:rsidRDefault="00430380" w:rsidP="00401057">
            <w:pPr>
              <w:pStyle w:val="JuPara"/>
              <w:ind w:firstLine="0"/>
              <w:jc w:val="center"/>
            </w:pPr>
          </w:p>
          <w:p w14:paraId="649E866D" w14:textId="789D6ABE" w:rsidR="00430380" w:rsidRPr="00401057" w:rsidRDefault="00430380" w:rsidP="00401057">
            <w:pPr>
              <w:pStyle w:val="JuPara"/>
              <w:ind w:firstLine="0"/>
              <w:jc w:val="center"/>
            </w:pPr>
            <w:r w:rsidRPr="00401057">
              <w:t>F. TRIFILO</w:t>
            </w:r>
            <w:r w:rsidR="00401057" w:rsidRPr="00401057">
              <w:t>’</w:t>
            </w:r>
          </w:p>
        </w:tc>
      </w:tr>
      <w:tr w:rsidR="0050598E" w:rsidRPr="00401057" w14:paraId="0447CF34" w14:textId="77777777" w:rsidTr="00630A01">
        <w:tc>
          <w:tcPr>
            <w:tcW w:w="868" w:type="pct"/>
            <w:shd w:val="clear" w:color="auto" w:fill="auto"/>
            <w:vAlign w:val="center"/>
          </w:tcPr>
          <w:p w14:paraId="3008C458" w14:textId="77777777" w:rsidR="007068FB" w:rsidRPr="00401057" w:rsidRDefault="007068FB" w:rsidP="00401057">
            <w:pPr>
              <w:pStyle w:val="JuPara"/>
              <w:ind w:firstLine="0"/>
              <w:jc w:val="center"/>
              <w:rPr>
                <w:b/>
                <w:color w:val="000000"/>
              </w:rPr>
            </w:pPr>
          </w:p>
          <w:p w14:paraId="32A24844" w14:textId="5E459F9A" w:rsidR="00430380" w:rsidRPr="00401057" w:rsidRDefault="00430380" w:rsidP="00401057">
            <w:pPr>
              <w:pStyle w:val="JuPara"/>
              <w:ind w:firstLine="0"/>
              <w:jc w:val="center"/>
              <w:rPr>
                <w:b/>
                <w:color w:val="000000"/>
              </w:rPr>
            </w:pPr>
            <w:r w:rsidRPr="00401057">
              <w:rPr>
                <w:b/>
                <w:color w:val="000000"/>
              </w:rPr>
              <w:t>60961/15</w:t>
            </w:r>
          </w:p>
          <w:p w14:paraId="421C1E91" w14:textId="48A95731" w:rsidR="008008B8" w:rsidRPr="00401057" w:rsidRDefault="00EC7A41" w:rsidP="00401057">
            <w:pPr>
              <w:pStyle w:val="JuPara"/>
              <w:ind w:firstLine="0"/>
              <w:jc w:val="center"/>
              <w:rPr>
                <w:b/>
                <w:color w:val="000000"/>
              </w:rPr>
            </w:pPr>
            <w:r w:rsidRPr="00401057">
              <w:rPr>
                <w:b/>
                <w:color w:val="000000"/>
              </w:rPr>
              <w:t>De Matteo</w:t>
            </w:r>
          </w:p>
          <w:p w14:paraId="16BB1BD7" w14:textId="66F4382E" w:rsidR="00430380" w:rsidRPr="00401057" w:rsidRDefault="00430380" w:rsidP="00401057">
            <w:pPr>
              <w:pStyle w:val="JuPara"/>
              <w:ind w:firstLine="0"/>
              <w:jc w:val="center"/>
              <w:rPr>
                <w:b/>
                <w:color w:val="000000"/>
              </w:rPr>
            </w:pPr>
            <w:r w:rsidRPr="00401057">
              <w:rPr>
                <w:b/>
                <w:color w:val="000000"/>
              </w:rPr>
              <w:t>et autres c. Italie</w:t>
            </w:r>
          </w:p>
          <w:p w14:paraId="2327D75B" w14:textId="649869AB" w:rsidR="00430380" w:rsidRPr="00401057" w:rsidRDefault="00430380" w:rsidP="00401057">
            <w:pPr>
              <w:pStyle w:val="JuPara"/>
              <w:ind w:firstLine="0"/>
              <w:jc w:val="center"/>
              <w:rPr>
                <w:bCs/>
                <w:color w:val="000000"/>
              </w:rPr>
            </w:pPr>
            <w:r w:rsidRPr="00401057">
              <w:rPr>
                <w:bCs/>
                <w:color w:val="000000"/>
              </w:rPr>
              <w:t>Introduite le</w:t>
            </w:r>
            <w:r w:rsidR="00966B1B" w:rsidRPr="00401057">
              <w:rPr>
                <w:bCs/>
                <w:color w:val="000000"/>
              </w:rPr>
              <w:t xml:space="preserve"> 03/12/</w:t>
            </w:r>
            <w:r w:rsidRPr="00401057">
              <w:rPr>
                <w:bCs/>
                <w:color w:val="000000"/>
              </w:rPr>
              <w:t>2015</w:t>
            </w:r>
          </w:p>
          <w:p w14:paraId="4A7D8624" w14:textId="77777777" w:rsidR="00430380" w:rsidRPr="00401057" w:rsidRDefault="00430380" w:rsidP="00401057">
            <w:pPr>
              <w:pStyle w:val="JuPara"/>
              <w:ind w:firstLine="0"/>
              <w:jc w:val="center"/>
              <w:rPr>
                <w:b/>
                <w:color w:val="000000"/>
              </w:rPr>
            </w:pPr>
          </w:p>
          <w:p w14:paraId="4C8FE2E0" w14:textId="6CC637AD" w:rsidR="00430380" w:rsidRPr="00401057" w:rsidRDefault="00430380" w:rsidP="00401057">
            <w:pPr>
              <w:pStyle w:val="JuPara"/>
              <w:ind w:firstLine="0"/>
              <w:jc w:val="center"/>
              <w:rPr>
                <w:rFonts w:eastAsia="Times New Roman"/>
              </w:rPr>
            </w:pPr>
            <w:r w:rsidRPr="00401057">
              <w:rPr>
                <w:rFonts w:eastAsia="Times New Roman"/>
              </w:rPr>
              <w:t>F. DE MATTEO</w:t>
            </w:r>
            <w:r w:rsidRPr="00401057">
              <w:rPr>
                <w:rFonts w:eastAsia="Times New Roman"/>
              </w:rPr>
              <w:br/>
            </w:r>
            <w:r w:rsidR="00EC7A41" w:rsidRPr="00401057">
              <w:rPr>
                <w:rFonts w:eastAsia="Times New Roman"/>
              </w:rPr>
              <w:t>r</w:t>
            </w:r>
            <w:r w:rsidRPr="00401057">
              <w:rPr>
                <w:rFonts w:eastAsia="Times New Roman"/>
              </w:rPr>
              <w:t>essortissant italien né en 1981</w:t>
            </w:r>
          </w:p>
          <w:p w14:paraId="46FF965F" w14:textId="630999CC" w:rsidR="00430380" w:rsidRPr="00401057" w:rsidRDefault="00430380" w:rsidP="00401057">
            <w:pPr>
              <w:pStyle w:val="JuPara"/>
              <w:ind w:firstLine="0"/>
              <w:jc w:val="center"/>
              <w:rPr>
                <w:rFonts w:eastAsia="Times New Roman"/>
              </w:rPr>
            </w:pPr>
            <w:r w:rsidRPr="00401057">
              <w:rPr>
                <w:rFonts w:eastAsia="Times New Roman"/>
              </w:rPr>
              <w:br/>
              <w:t>F. DE PIANO</w:t>
            </w:r>
            <w:r w:rsidRPr="00401057">
              <w:rPr>
                <w:rFonts w:eastAsia="Times New Roman"/>
              </w:rPr>
              <w:br/>
            </w:r>
            <w:r w:rsidR="00EC7A41" w:rsidRPr="00401057">
              <w:rPr>
                <w:rFonts w:eastAsia="Times New Roman"/>
              </w:rPr>
              <w:t>r</w:t>
            </w:r>
            <w:r w:rsidRPr="00401057">
              <w:rPr>
                <w:rFonts w:eastAsia="Times New Roman"/>
              </w:rPr>
              <w:t>essortissant italien né en 1976</w:t>
            </w:r>
            <w:r w:rsidRPr="00401057">
              <w:rPr>
                <w:rFonts w:eastAsia="Times New Roman"/>
              </w:rPr>
              <w:br/>
            </w:r>
            <w:r w:rsidRPr="00401057">
              <w:rPr>
                <w:rFonts w:eastAsia="Times New Roman"/>
              </w:rPr>
              <w:br/>
              <w:t>P. DI BLASIO</w:t>
            </w:r>
            <w:r w:rsidRPr="00401057">
              <w:rPr>
                <w:rFonts w:eastAsia="Times New Roman"/>
              </w:rPr>
              <w:br/>
            </w:r>
            <w:r w:rsidR="00EC7A41" w:rsidRPr="00401057">
              <w:rPr>
                <w:rFonts w:eastAsia="Times New Roman"/>
              </w:rPr>
              <w:t>r</w:t>
            </w:r>
            <w:r w:rsidRPr="00401057">
              <w:rPr>
                <w:rFonts w:eastAsia="Times New Roman"/>
              </w:rPr>
              <w:t>essortissant italien né en 1977</w:t>
            </w:r>
          </w:p>
          <w:p w14:paraId="04997C2A" w14:textId="77777777" w:rsidR="0050598E" w:rsidRPr="00401057" w:rsidRDefault="00430380" w:rsidP="00401057">
            <w:pPr>
              <w:pStyle w:val="JuPara"/>
              <w:ind w:firstLine="0"/>
              <w:jc w:val="center"/>
              <w:rPr>
                <w:rFonts w:eastAsia="Times New Roman"/>
              </w:rPr>
            </w:pPr>
            <w:r w:rsidRPr="00401057">
              <w:rPr>
                <w:rFonts w:eastAsia="Times New Roman"/>
              </w:rPr>
              <w:br/>
            </w:r>
          </w:p>
          <w:p w14:paraId="5638A309" w14:textId="6FFD4668" w:rsidR="00430380" w:rsidRPr="00401057" w:rsidRDefault="00430380" w:rsidP="00401057">
            <w:pPr>
              <w:pStyle w:val="JuPara"/>
              <w:ind w:firstLine="0"/>
              <w:jc w:val="center"/>
              <w:rPr>
                <w:rFonts w:eastAsia="Times New Roman"/>
              </w:rPr>
            </w:pPr>
            <w:r w:rsidRPr="00401057">
              <w:rPr>
                <w:rFonts w:eastAsia="Times New Roman"/>
              </w:rPr>
              <w:t>S. LAMBERTI</w:t>
            </w:r>
            <w:r w:rsidRPr="00401057">
              <w:rPr>
                <w:rFonts w:eastAsia="Times New Roman"/>
              </w:rPr>
              <w:br/>
            </w:r>
            <w:r w:rsidR="00EC7A41" w:rsidRPr="00401057">
              <w:rPr>
                <w:rFonts w:eastAsia="Times New Roman"/>
              </w:rPr>
              <w:t>r</w:t>
            </w:r>
            <w:r w:rsidRPr="00401057">
              <w:rPr>
                <w:rFonts w:eastAsia="Times New Roman"/>
              </w:rPr>
              <w:t>essortissant italien né en 1976</w:t>
            </w:r>
          </w:p>
          <w:p w14:paraId="32984E11" w14:textId="1A28A7AA" w:rsidR="0050598E" w:rsidRPr="00401057" w:rsidRDefault="00430380" w:rsidP="00401057">
            <w:pPr>
              <w:pStyle w:val="JuPara"/>
              <w:ind w:firstLine="0"/>
              <w:jc w:val="center"/>
              <w:rPr>
                <w:rFonts w:eastAsia="Times New Roman"/>
              </w:rPr>
            </w:pPr>
            <w:r w:rsidRPr="00401057">
              <w:rPr>
                <w:rFonts w:eastAsia="Times New Roman"/>
              </w:rPr>
              <w:br/>
              <w:t>P. MASCIULLO</w:t>
            </w:r>
            <w:r w:rsidRPr="00401057">
              <w:rPr>
                <w:rFonts w:eastAsia="Times New Roman"/>
              </w:rPr>
              <w:br/>
            </w:r>
            <w:r w:rsidR="00EC7A41" w:rsidRPr="00401057">
              <w:rPr>
                <w:rFonts w:eastAsia="Times New Roman"/>
              </w:rPr>
              <w:t>r</w:t>
            </w:r>
            <w:r w:rsidRPr="00401057">
              <w:rPr>
                <w:rFonts w:eastAsia="Times New Roman"/>
              </w:rPr>
              <w:t>essortissant italien né en 1973</w:t>
            </w:r>
            <w:r w:rsidRPr="00401057">
              <w:rPr>
                <w:rFonts w:eastAsia="Times New Roman"/>
              </w:rPr>
              <w:br/>
            </w:r>
            <w:r w:rsidRPr="00401057">
              <w:rPr>
                <w:rFonts w:eastAsia="Times New Roman"/>
              </w:rPr>
              <w:br/>
              <w:t>L. MAZZA</w:t>
            </w:r>
            <w:r w:rsidRPr="00401057">
              <w:rPr>
                <w:rFonts w:eastAsia="Times New Roman"/>
              </w:rPr>
              <w:br/>
            </w:r>
            <w:r w:rsidR="00EC7A41" w:rsidRPr="00401057">
              <w:rPr>
                <w:rFonts w:eastAsia="Times New Roman"/>
              </w:rPr>
              <w:t>r</w:t>
            </w:r>
            <w:r w:rsidRPr="00401057">
              <w:rPr>
                <w:rFonts w:eastAsia="Times New Roman"/>
              </w:rPr>
              <w:t>essortissant italien né en 1979</w:t>
            </w:r>
            <w:r w:rsidRPr="00401057">
              <w:rPr>
                <w:rFonts w:eastAsia="Times New Roman"/>
              </w:rPr>
              <w:br/>
            </w:r>
            <w:r w:rsidRPr="00401057">
              <w:rPr>
                <w:rFonts w:eastAsia="Times New Roman"/>
              </w:rPr>
              <w:br/>
              <w:t>S. MINISSALE</w:t>
            </w:r>
            <w:r w:rsidRPr="00401057">
              <w:rPr>
                <w:rFonts w:eastAsia="Times New Roman"/>
              </w:rPr>
              <w:br/>
            </w:r>
            <w:r w:rsidR="00EC7A41" w:rsidRPr="00401057">
              <w:rPr>
                <w:rFonts w:eastAsia="Times New Roman"/>
              </w:rPr>
              <w:t>r</w:t>
            </w:r>
            <w:r w:rsidRPr="00401057">
              <w:rPr>
                <w:rFonts w:eastAsia="Times New Roman"/>
              </w:rPr>
              <w:t>essortissant italien né en 1977</w:t>
            </w:r>
            <w:r w:rsidRPr="00401057">
              <w:rPr>
                <w:rFonts w:eastAsia="Times New Roman"/>
              </w:rPr>
              <w:br/>
            </w:r>
            <w:r w:rsidRPr="00401057">
              <w:rPr>
                <w:rFonts w:eastAsia="Times New Roman"/>
              </w:rPr>
              <w:br/>
              <w:t>A. NADDEO</w:t>
            </w:r>
            <w:r w:rsidRPr="00401057">
              <w:rPr>
                <w:rFonts w:eastAsia="Times New Roman"/>
              </w:rPr>
              <w:br/>
            </w:r>
            <w:r w:rsidR="00EC7A41" w:rsidRPr="00401057">
              <w:rPr>
                <w:rFonts w:eastAsia="Times New Roman"/>
              </w:rPr>
              <w:t>r</w:t>
            </w:r>
            <w:r w:rsidRPr="00401057">
              <w:rPr>
                <w:rFonts w:eastAsia="Times New Roman"/>
              </w:rPr>
              <w:t>essortissant italien né en 1978</w:t>
            </w:r>
            <w:r w:rsidRPr="00401057">
              <w:rPr>
                <w:rFonts w:eastAsia="Times New Roman"/>
              </w:rPr>
              <w:br/>
            </w:r>
            <w:r w:rsidRPr="00401057">
              <w:rPr>
                <w:rFonts w:eastAsia="Times New Roman"/>
              </w:rPr>
              <w:br/>
              <w:t>L. SIVIGLIA</w:t>
            </w:r>
            <w:r w:rsidRPr="00401057">
              <w:rPr>
                <w:rFonts w:eastAsia="Times New Roman"/>
              </w:rPr>
              <w:br/>
            </w:r>
            <w:r w:rsidR="00EC7A41" w:rsidRPr="00401057">
              <w:rPr>
                <w:rFonts w:eastAsia="Times New Roman"/>
              </w:rPr>
              <w:t>r</w:t>
            </w:r>
            <w:r w:rsidRPr="00401057">
              <w:rPr>
                <w:rFonts w:eastAsia="Times New Roman"/>
              </w:rPr>
              <w:t>essortissant italien né en 1975</w:t>
            </w:r>
            <w:r w:rsidRPr="00401057">
              <w:rPr>
                <w:rFonts w:eastAsia="Times New Roman"/>
              </w:rPr>
              <w:br/>
            </w:r>
            <w:r w:rsidRPr="00401057">
              <w:rPr>
                <w:rFonts w:eastAsia="Times New Roman"/>
              </w:rPr>
              <w:br/>
            </w:r>
          </w:p>
          <w:p w14:paraId="55D37905" w14:textId="49ACFDE6" w:rsidR="00430380" w:rsidRPr="00401057" w:rsidRDefault="00430380" w:rsidP="00401057">
            <w:pPr>
              <w:pStyle w:val="JuPara"/>
              <w:ind w:firstLine="0"/>
              <w:jc w:val="center"/>
              <w:rPr>
                <w:color w:val="000000"/>
              </w:rPr>
            </w:pPr>
            <w:r w:rsidRPr="00401057">
              <w:rPr>
                <w:rFonts w:eastAsia="Times New Roman"/>
              </w:rPr>
              <w:t>A. MAZZARANO</w:t>
            </w:r>
            <w:r w:rsidRPr="00401057">
              <w:rPr>
                <w:rFonts w:eastAsia="Times New Roman"/>
              </w:rPr>
              <w:br/>
            </w:r>
            <w:r w:rsidR="00EC7A41" w:rsidRPr="00401057">
              <w:rPr>
                <w:rFonts w:eastAsia="Times New Roman"/>
              </w:rPr>
              <w:t>r</w:t>
            </w:r>
            <w:r w:rsidRPr="00401057">
              <w:rPr>
                <w:rFonts w:eastAsia="Times New Roman"/>
              </w:rPr>
              <w:t>essortissant italien né en 1977</w:t>
            </w:r>
          </w:p>
          <w:p w14:paraId="2CD68C1C" w14:textId="77777777" w:rsidR="00430380" w:rsidRPr="00401057" w:rsidRDefault="00430380" w:rsidP="00401057">
            <w:pPr>
              <w:pStyle w:val="JuPara"/>
              <w:ind w:firstLine="0"/>
              <w:jc w:val="center"/>
              <w:rPr>
                <w:b/>
                <w:color w:val="000000"/>
              </w:rPr>
            </w:pPr>
          </w:p>
        </w:tc>
        <w:tc>
          <w:tcPr>
            <w:tcW w:w="979" w:type="pct"/>
            <w:shd w:val="clear" w:color="auto" w:fill="auto"/>
            <w:vAlign w:val="center"/>
          </w:tcPr>
          <w:p w14:paraId="3DC9D91A" w14:textId="77777777" w:rsidR="00430380" w:rsidRPr="00401057" w:rsidRDefault="00430380" w:rsidP="00401057">
            <w:pPr>
              <w:pStyle w:val="JuPara"/>
              <w:ind w:firstLine="0"/>
              <w:jc w:val="center"/>
            </w:pPr>
            <w:r w:rsidRPr="00401057">
              <w:t>9 ans et 10 mois pour un degré de juridiction</w:t>
            </w:r>
          </w:p>
        </w:tc>
        <w:tc>
          <w:tcPr>
            <w:tcW w:w="2230" w:type="pct"/>
            <w:shd w:val="clear" w:color="auto" w:fill="auto"/>
          </w:tcPr>
          <w:p w14:paraId="039A8680" w14:textId="77777777" w:rsidR="00430380" w:rsidRPr="00401057" w:rsidRDefault="00430380" w:rsidP="00401057">
            <w:pPr>
              <w:pStyle w:val="JuPara"/>
              <w:ind w:firstLine="0"/>
              <w:jc w:val="left"/>
              <w:rPr>
                <w:color w:val="000000"/>
              </w:rPr>
            </w:pPr>
          </w:p>
          <w:p w14:paraId="5A269DFC" w14:textId="596AFD6C" w:rsidR="00430380" w:rsidRPr="00401057" w:rsidRDefault="00430380" w:rsidP="00401057">
            <w:pPr>
              <w:pStyle w:val="JuPara"/>
              <w:ind w:firstLine="0"/>
              <w:jc w:val="left"/>
              <w:rPr>
                <w:b/>
                <w:bCs/>
                <w:color w:val="000000"/>
                <w:u w:val="single"/>
              </w:rPr>
            </w:pPr>
            <w:r w:rsidRPr="00401057">
              <w:rPr>
                <w:b/>
                <w:bCs/>
                <w:color w:val="000000"/>
                <w:u w:val="single"/>
              </w:rPr>
              <w:t>Autorité judiciaire :</w:t>
            </w:r>
          </w:p>
          <w:p w14:paraId="1687C350" w14:textId="77777777" w:rsidR="00430380" w:rsidRPr="00401057" w:rsidRDefault="00430380" w:rsidP="00401057">
            <w:pPr>
              <w:pStyle w:val="JuPara"/>
              <w:numPr>
                <w:ilvl w:val="0"/>
                <w:numId w:val="4"/>
              </w:numPr>
              <w:jc w:val="left"/>
              <w:rPr>
                <w:color w:val="000000"/>
              </w:rPr>
            </w:pPr>
            <w:r w:rsidRPr="00401057">
              <w:rPr>
                <w:color w:val="000000"/>
              </w:rPr>
              <w:t>Tribunal administratif régional de Latium</w:t>
            </w:r>
          </w:p>
          <w:p w14:paraId="715C83B7" w14:textId="77777777" w:rsidR="00430380" w:rsidRPr="00401057" w:rsidRDefault="00430380" w:rsidP="00401057">
            <w:pPr>
              <w:pStyle w:val="JuPara"/>
              <w:ind w:left="360" w:firstLine="0"/>
              <w:jc w:val="left"/>
              <w:rPr>
                <w:color w:val="000000"/>
                <w:lang w:val="it-IT"/>
              </w:rPr>
            </w:pPr>
            <w:r w:rsidRPr="00401057">
              <w:rPr>
                <w:color w:val="000000"/>
                <w:lang w:val="it-IT"/>
              </w:rPr>
              <w:t>(R.G. n</w:t>
            </w:r>
            <w:r w:rsidRPr="00401057">
              <w:rPr>
                <w:color w:val="000000"/>
                <w:vertAlign w:val="superscript"/>
                <w:lang w:val="it-IT"/>
              </w:rPr>
              <w:t>o</w:t>
            </w:r>
            <w:r w:rsidRPr="00401057">
              <w:rPr>
                <w:color w:val="000000"/>
                <w:lang w:val="it-IT"/>
              </w:rPr>
              <w:t xml:space="preserve"> 11441/2006)</w:t>
            </w:r>
          </w:p>
          <w:p w14:paraId="7BAF774A" w14:textId="1E4D9BFB" w:rsidR="008008B8" w:rsidRPr="00401057" w:rsidRDefault="00430380" w:rsidP="00401057">
            <w:pPr>
              <w:pStyle w:val="JuPara"/>
              <w:ind w:left="360" w:firstLine="0"/>
              <w:jc w:val="left"/>
              <w:rPr>
                <w:color w:val="000000"/>
              </w:rPr>
            </w:pPr>
            <w:r w:rsidRPr="00401057">
              <w:rPr>
                <w:color w:val="000000"/>
              </w:rPr>
              <w:t>Début de la procédure</w:t>
            </w:r>
            <w:r w:rsidR="00C76984" w:rsidRPr="00401057">
              <w:rPr>
                <w:color w:val="000000"/>
              </w:rPr>
              <w:t xml:space="preserve"> </w:t>
            </w:r>
            <w:r w:rsidRPr="00401057">
              <w:rPr>
                <w:color w:val="000000"/>
              </w:rPr>
              <w:t>: 7 décembre 2006 (demande de fixation en urgence de la date de l</w:t>
            </w:r>
            <w:r w:rsidR="00401057" w:rsidRPr="00401057">
              <w:rPr>
                <w:color w:val="000000"/>
              </w:rPr>
              <w:t>’</w:t>
            </w:r>
            <w:r w:rsidRPr="00401057">
              <w:rPr>
                <w:color w:val="000000"/>
              </w:rPr>
              <w:t>audience :</w:t>
            </w:r>
          </w:p>
          <w:p w14:paraId="0535F167" w14:textId="25745A0D" w:rsidR="00430380" w:rsidRPr="00401057" w:rsidRDefault="00430380" w:rsidP="00401057">
            <w:pPr>
              <w:pStyle w:val="JuPara"/>
              <w:ind w:left="360" w:firstLine="0"/>
              <w:jc w:val="left"/>
              <w:rPr>
                <w:color w:val="000000"/>
              </w:rPr>
            </w:pPr>
            <w:r w:rsidRPr="00401057">
              <w:rPr>
                <w:color w:val="000000"/>
              </w:rPr>
              <w:t>25 mai 2011)</w:t>
            </w:r>
          </w:p>
          <w:p w14:paraId="017AC1E1" w14:textId="77777777" w:rsidR="00430380" w:rsidRPr="00401057" w:rsidRDefault="00430380" w:rsidP="00401057">
            <w:pPr>
              <w:pStyle w:val="JuPara"/>
              <w:ind w:left="360" w:firstLine="0"/>
              <w:jc w:val="left"/>
              <w:rPr>
                <w:color w:val="000000"/>
              </w:rPr>
            </w:pPr>
            <w:r w:rsidRPr="00401057">
              <w:rPr>
                <w:color w:val="000000"/>
              </w:rPr>
              <w:t>Fin de la procédure : 11 octobre 2016</w:t>
            </w:r>
          </w:p>
        </w:tc>
        <w:tc>
          <w:tcPr>
            <w:tcW w:w="923" w:type="pct"/>
          </w:tcPr>
          <w:p w14:paraId="5D6C96D3" w14:textId="77777777" w:rsidR="00430380" w:rsidRPr="00401057" w:rsidRDefault="00430380" w:rsidP="00401057">
            <w:pPr>
              <w:pStyle w:val="JuPara"/>
              <w:ind w:firstLine="0"/>
              <w:jc w:val="center"/>
            </w:pPr>
          </w:p>
          <w:p w14:paraId="29E2FE70" w14:textId="77777777" w:rsidR="00430380" w:rsidRPr="00401057" w:rsidRDefault="00430380" w:rsidP="00401057">
            <w:pPr>
              <w:pStyle w:val="JuPara"/>
              <w:ind w:firstLine="0"/>
              <w:jc w:val="center"/>
              <w:rPr>
                <w:lang w:val="it-IT"/>
              </w:rPr>
            </w:pPr>
            <w:r w:rsidRPr="00401057">
              <w:rPr>
                <w:lang w:val="it-IT"/>
              </w:rPr>
              <w:t>E. CERIO</w:t>
            </w:r>
          </w:p>
        </w:tc>
      </w:tr>
      <w:bookmarkEnd w:id="31"/>
    </w:tbl>
    <w:p w14:paraId="2230558D" w14:textId="77777777" w:rsidR="00430380" w:rsidRPr="00401057" w:rsidRDefault="00430380" w:rsidP="00401057">
      <w:pPr>
        <w:pStyle w:val="JuPara"/>
        <w:ind w:firstLine="0"/>
      </w:pPr>
    </w:p>
    <w:p w14:paraId="5726CCA6" w14:textId="395054BB" w:rsidR="00876F03" w:rsidRPr="00401057" w:rsidRDefault="00876F03" w:rsidP="00401057"/>
    <w:sectPr w:rsidR="00876F03" w:rsidRPr="00401057" w:rsidSect="007F07FB">
      <w:headerReference w:type="even" r:id="rId20"/>
      <w:headerReference w:type="default" r:id="rId21"/>
      <w:footerReference w:type="default" r:id="rId22"/>
      <w:footnotePr>
        <w:numRestart w:val="eachSect"/>
      </w:footnotePr>
      <w:pgSz w:w="16838" w:h="11906" w:orient="landscape" w:code="9"/>
      <w:pgMar w:top="2274" w:right="2274" w:bottom="2274" w:left="2274" w:header="1701"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A7AFD" w14:textId="77777777" w:rsidR="00EC30E9" w:rsidRPr="00F25EFC" w:rsidRDefault="00EC30E9" w:rsidP="00516B59">
      <w:r w:rsidRPr="00F25EFC">
        <w:separator/>
      </w:r>
    </w:p>
  </w:endnote>
  <w:endnote w:type="continuationSeparator" w:id="0">
    <w:p w14:paraId="1596E8A6" w14:textId="77777777" w:rsidR="00EC30E9" w:rsidRPr="00F25EFC" w:rsidRDefault="00EC30E9"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A8AB" w14:textId="14B2D6DB" w:rsidR="00954AD6" w:rsidRPr="00F25EFC" w:rsidRDefault="00AB3CE0" w:rsidP="00954AD6">
    <w:pPr>
      <w:pStyle w:val="JuHead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59EA" w14:textId="1F53810A" w:rsidR="00AB3CE0" w:rsidRPr="00150BFA" w:rsidRDefault="00AB3CE0" w:rsidP="0020718E">
    <w:pPr>
      <w:jc w:val="center"/>
    </w:pPr>
    <w:r>
      <w:rPr>
        <w:noProof/>
        <w:lang w:val="en-US" w:eastAsia="ja-JP"/>
      </w:rPr>
      <w:drawing>
        <wp:inline distT="0" distB="0" distL="0" distR="0" wp14:anchorId="3BF0153D" wp14:editId="046B89A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891A057" w14:textId="2C8C5988" w:rsidR="00F22D5C" w:rsidRPr="00F25EFC" w:rsidRDefault="00EC30E9"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053D" w14:textId="27BF1420" w:rsidR="00AB3CE0" w:rsidRPr="00150BFA" w:rsidRDefault="00AB3CE0" w:rsidP="0020718E">
    <w:pPr>
      <w:jc w:val="center"/>
    </w:pPr>
    <w:r>
      <w:rPr>
        <w:noProof/>
        <w:lang w:val="en-US" w:eastAsia="ja-JP"/>
      </w:rPr>
      <w:drawing>
        <wp:inline distT="0" distB="0" distL="0" distR="0" wp14:anchorId="1D96FB4E" wp14:editId="4433B102">
          <wp:extent cx="771525" cy="619125"/>
          <wp:effectExtent l="0" t="0" r="9525" b="9525"/>
          <wp:docPr id="12" name="Picture 1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5537710" w14:textId="0E1A731F" w:rsidR="00902601" w:rsidRPr="00F25EFC" w:rsidRDefault="00902601"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8B77" w14:textId="4AE0F1B7" w:rsidR="00AB3CE0" w:rsidRPr="007F07FB" w:rsidRDefault="00AB3CE0" w:rsidP="00C149F0">
    <w:pPr>
      <w:pStyle w:val="JuHeader"/>
      <w:rPr>
        <w:rStyle w:val="Numeropagina"/>
        <w:lang w:val="en-US"/>
      </w:rPr>
    </w:pPr>
    <w:r>
      <w:rPr>
        <w:rStyle w:val="Numeropagina"/>
        <w:lang w:val="en-US"/>
      </w:rPr>
      <w:fldChar w:fldCharType="begin"/>
    </w:r>
    <w:r>
      <w:rPr>
        <w:rStyle w:val="Numeropagina"/>
        <w:lang w:val="en-US"/>
      </w:rPr>
      <w:instrText xml:space="preserve"> PAGE </w:instrText>
    </w:r>
    <w:r>
      <w:rPr>
        <w:rStyle w:val="Numeropagina"/>
        <w:lang w:val="en-US"/>
      </w:rPr>
      <w:fldChar w:fldCharType="separate"/>
    </w:r>
    <w:r>
      <w:rPr>
        <w:rStyle w:val="Numeropagina"/>
        <w:lang w:val="en-US"/>
      </w:rPr>
      <w:t>1</w:t>
    </w:r>
    <w:r>
      <w:rPr>
        <w:rStyle w:val="Numeropagina"/>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89EBC" w14:textId="59DA307A" w:rsidR="00AB3CE0" w:rsidRDefault="00AB3CE0" w:rsidP="00662882">
    <w:pPr>
      <w:pStyle w:val="JuHeader"/>
    </w:pPr>
    <w:r>
      <w:fldChar w:fldCharType="begin"/>
    </w:r>
    <w:r>
      <w:instrText xml:space="preserve"> PAGE </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9B64" w14:textId="2D65057E" w:rsidR="00F22D5C" w:rsidRPr="007F07FB" w:rsidRDefault="00AB3CE0" w:rsidP="00662882">
    <w:pPr>
      <w:pStyle w:val="JuHeader"/>
      <w:rPr>
        <w:rStyle w:val="Numeropagina"/>
        <w:lang w:val="en-US"/>
      </w:rPr>
    </w:pPr>
    <w:r w:rsidRPr="007F07FB">
      <w:rPr>
        <w:rStyle w:val="Numeropagina"/>
        <w:lang w:val="en-US"/>
      </w:rPr>
      <w:fldChar w:fldCharType="begin"/>
    </w:r>
    <w:r w:rsidRPr="007F07FB">
      <w:rPr>
        <w:rStyle w:val="Numeropagina"/>
        <w:lang w:val="en-US"/>
      </w:rPr>
      <w:instrText xml:space="preserve"> PAGE </w:instrText>
    </w:r>
    <w:r w:rsidRPr="007F07FB">
      <w:rPr>
        <w:rStyle w:val="Numeropagina"/>
        <w:lang w:val="en-US"/>
      </w:rPr>
      <w:fldChar w:fldCharType="separate"/>
    </w:r>
    <w:r w:rsidRPr="007F07FB">
      <w:rPr>
        <w:rStyle w:val="Numeropagina"/>
        <w:lang w:val="en-US"/>
      </w:rPr>
      <w:t>1</w:t>
    </w:r>
    <w:r w:rsidRPr="007F07FB">
      <w:rPr>
        <w:rStyle w:val="Numeropagina"/>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4466D" w14:textId="77777777" w:rsidR="00EC30E9" w:rsidRPr="00F25EFC" w:rsidRDefault="00EC30E9" w:rsidP="00516B59">
      <w:r w:rsidRPr="00F25EFC">
        <w:separator/>
      </w:r>
    </w:p>
  </w:footnote>
  <w:footnote w:type="continuationSeparator" w:id="0">
    <w:p w14:paraId="3F0A58A4" w14:textId="77777777" w:rsidR="00EC30E9" w:rsidRPr="00F25EFC" w:rsidRDefault="00EC30E9" w:rsidP="00516B59">
      <w:r w:rsidRPr="00F25EFC">
        <w:continuationSeparator/>
      </w:r>
    </w:p>
  </w:footnote>
  <w:footnote w:id="1">
    <w:p w14:paraId="683A3EA5" w14:textId="77777777" w:rsidR="00AB3CE0" w:rsidRPr="005B63D8" w:rsidRDefault="00AB3CE0" w:rsidP="00AB3CE0">
      <w:pPr>
        <w:pStyle w:val="Testonotaapidipagina"/>
        <w:rPr>
          <w:lang w:val="it-IT"/>
        </w:rPr>
      </w:pPr>
      <w:r w:rsidRPr="008008B8">
        <w:rPr>
          <w:rStyle w:val="Rimandonotaapidipagina"/>
        </w:rPr>
        <w:footnoteRef/>
      </w:r>
      <w:r w:rsidRPr="00964D56">
        <w:rPr>
          <w:rStyle w:val="Rimandonotaapidipagina"/>
          <w:lang w:val="it-IT"/>
        </w:rPr>
        <w:t xml:space="preserve"> </w:t>
      </w:r>
      <w:r w:rsidRPr="005B63D8">
        <w:rPr>
          <w:lang w:val="it-IT"/>
        </w:rPr>
        <w:t>«</w:t>
      </w:r>
      <w:r>
        <w:rPr>
          <w:lang w:val="it-IT"/>
        </w:rPr>
        <w:t xml:space="preserve"> (…) </w:t>
      </w:r>
      <w:r w:rsidRPr="005B63D8">
        <w:rPr>
          <w:lang w:val="it-IT"/>
        </w:rPr>
        <w:t xml:space="preserve">7. </w:t>
      </w:r>
      <w:r w:rsidRPr="005B63D8">
        <w:rPr>
          <w:i/>
          <w:iCs/>
          <w:lang w:val="it-IT"/>
        </w:rPr>
        <w:t>Restano ferme le disposizioni che determinano l</w:t>
      </w:r>
      <w:r>
        <w:rPr>
          <w:i/>
          <w:iCs/>
          <w:lang w:val="it-IT"/>
        </w:rPr>
        <w:t>’</w:t>
      </w:r>
      <w:r w:rsidRPr="005B63D8">
        <w:rPr>
          <w:i/>
          <w:iCs/>
          <w:lang w:val="it-IT"/>
        </w:rPr>
        <w:t>ordine di priorità nella trattazione dei procedimenti</w:t>
      </w:r>
      <w:r>
        <w:rPr>
          <w:lang w:val="it-IT"/>
        </w:rPr>
        <w:t>. </w:t>
      </w:r>
      <w:r w:rsidRPr="005B63D8">
        <w:rPr>
          <w:lang w:val="it-IT"/>
        </w:rPr>
        <w:t>»</w:t>
      </w:r>
    </w:p>
  </w:footnote>
  <w:footnote w:id="2">
    <w:p w14:paraId="39C159B4" w14:textId="7BE3C9E3" w:rsidR="00430380" w:rsidRPr="00C61D72" w:rsidRDefault="00430380" w:rsidP="00430380">
      <w:pPr>
        <w:pStyle w:val="Testonotaapidipagina"/>
      </w:pPr>
      <w:r w:rsidRPr="008008B8">
        <w:rPr>
          <w:rStyle w:val="Rimandonotaapidipagina"/>
        </w:rPr>
        <w:footnoteRef/>
      </w:r>
      <w:r w:rsidRPr="008008B8">
        <w:rPr>
          <w:rStyle w:val="Rimandonotaapidipagina"/>
          <w:lang w:val="it-IT"/>
        </w:rPr>
        <w:t xml:space="preserve"> </w:t>
      </w:r>
      <w:r w:rsidRPr="00C61D72">
        <w:rPr>
          <w:lang w:val="it-IT"/>
        </w:rPr>
        <w:t>M</w:t>
      </w:r>
      <w:r w:rsidR="00966B1B">
        <w:rPr>
          <w:lang w:val="it-IT"/>
        </w:rPr>
        <w:t>.</w:t>
      </w:r>
      <w:r>
        <w:rPr>
          <w:lang w:val="it-IT"/>
        </w:rPr>
        <w:t> </w:t>
      </w:r>
      <w:r w:rsidRPr="00C61D72">
        <w:rPr>
          <w:lang w:val="it-IT"/>
        </w:rPr>
        <w:t>N</w:t>
      </w:r>
      <w:r w:rsidR="00966B1B">
        <w:rPr>
          <w:lang w:val="it-IT"/>
        </w:rPr>
        <w:t>.</w:t>
      </w:r>
      <w:r w:rsidR="008008B8">
        <w:rPr>
          <w:lang w:val="it-IT"/>
        </w:rPr>
        <w:t> </w:t>
      </w:r>
      <w:r w:rsidRPr="00C61D72">
        <w:rPr>
          <w:lang w:val="it-IT"/>
        </w:rPr>
        <w:t>Fabozzi est associé (</w:t>
      </w:r>
      <w:r w:rsidRPr="00C61D72">
        <w:rPr>
          <w:i/>
          <w:iCs/>
          <w:lang w:val="it-IT"/>
        </w:rPr>
        <w:t>socio accomandatario</w:t>
      </w:r>
      <w:r w:rsidRPr="00C61D72">
        <w:rPr>
          <w:lang w:val="it-IT"/>
        </w:rPr>
        <w:t>) de la société FA.VO. Costruzioni</w:t>
      </w:r>
      <w:r>
        <w:rPr>
          <w:lang w:val="it-IT"/>
        </w:rPr>
        <w:t xml:space="preserve">. </w:t>
      </w:r>
      <w:r w:rsidRPr="00C61D72">
        <w:t>Le tribunal interne a déclaré la faillite de ladite société</w:t>
      </w:r>
      <w:r>
        <w:t xml:space="preserve"> et la faillite personnelle du requérant</w:t>
      </w:r>
      <w:r w:rsidR="00966B1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A8DF" w14:textId="7202F502" w:rsidR="00AB3CE0" w:rsidRPr="00A45145" w:rsidRDefault="00AB3CE0" w:rsidP="00A45145">
    <w:pPr>
      <w:jc w:val="center"/>
    </w:pPr>
    <w:r>
      <w:rPr>
        <w:noProof/>
        <w:lang w:val="en-US" w:eastAsia="ja-JP"/>
      </w:rPr>
      <w:drawing>
        <wp:inline distT="0" distB="0" distL="0" distR="0" wp14:anchorId="5E9EA4E0" wp14:editId="07281E17">
          <wp:extent cx="2962275" cy="1219200"/>
          <wp:effectExtent l="0" t="0" r="9525" b="0"/>
          <wp:docPr id="13" name="Picture 1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64B5164" w14:textId="2916FD5F" w:rsidR="00F22D5C" w:rsidRPr="00F25EFC" w:rsidRDefault="00EC30E9" w:rsidP="009840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2FF72" w14:textId="083FF84E" w:rsidR="00AB3CE0" w:rsidRPr="00A45145" w:rsidRDefault="00AB3CE0" w:rsidP="00A45145">
    <w:pPr>
      <w:jc w:val="center"/>
    </w:pPr>
    <w:r>
      <w:rPr>
        <w:noProof/>
        <w:lang w:val="en-US" w:eastAsia="ja-JP"/>
      </w:rPr>
      <w:drawing>
        <wp:inline distT="0" distB="0" distL="0" distR="0" wp14:anchorId="7995464A" wp14:editId="6EB66CF5">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5033DF1" w14:textId="677ED861" w:rsidR="00902601" w:rsidRPr="00F25EFC" w:rsidRDefault="00902601"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7BC6E" w14:textId="533CBA95" w:rsidR="00AB3CE0" w:rsidRPr="00F5432B" w:rsidRDefault="00AB3CE0" w:rsidP="00C149F0">
    <w:pPr>
      <w:pStyle w:val="JuHeader"/>
    </w:pPr>
    <w:r w:rsidRPr="00045600">
      <w:t xml:space="preserve">ARRÊT VERRASCINA </w:t>
    </w:r>
    <w:r w:rsidR="00B9590D" w:rsidRPr="00045600">
      <w:t xml:space="preserve">ET AUTRES </w:t>
    </w:r>
    <w:r w:rsidRPr="00045600">
      <w:t xml:space="preserve">c. ITALIE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D8CC" w14:textId="6525E68F" w:rsidR="00AB3CE0" w:rsidRPr="007100AD" w:rsidRDefault="00AB3CE0" w:rsidP="00662882">
    <w:pPr>
      <w:pStyle w:val="JuHeader"/>
    </w:pPr>
    <w:r w:rsidRPr="00B9590D">
      <w:t xml:space="preserve">ARRÊT VERRASCINA </w:t>
    </w:r>
    <w:r w:rsidR="00B9590D" w:rsidRPr="00B9590D">
      <w:t xml:space="preserve">ET AUTRES </w:t>
    </w:r>
    <w:r w:rsidRPr="00B9590D">
      <w:t xml:space="preserve">c. ITALIE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CCD05" w14:textId="69212A8C" w:rsidR="00F22D5C" w:rsidRPr="00966B1B" w:rsidRDefault="00A21624" w:rsidP="00A21624">
    <w:pPr>
      <w:pStyle w:val="JuHeader"/>
    </w:pPr>
    <w:r w:rsidRPr="00966B1B">
      <w:t>ARRÊT</w:t>
    </w:r>
    <w:r w:rsidR="00256F45" w:rsidRPr="00966B1B">
      <w:t xml:space="preserve"> </w:t>
    </w:r>
    <w:r w:rsidR="00AB3CE0" w:rsidRPr="00966B1B">
      <w:t xml:space="preserve">VERRASCINA </w:t>
    </w:r>
    <w:r w:rsidR="00966B1B" w:rsidRPr="00966B1B">
      <w:t xml:space="preserve">ET AUTRES </w:t>
    </w:r>
    <w:r w:rsidR="00AB3CE0" w:rsidRPr="00966B1B">
      <w:t>c. ITALIE</w:t>
    </w:r>
    <w:r w:rsidR="00AB3CE0" w:rsidRPr="00966B1B">
      <w:rPr>
        <w:noProo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50726" w14:textId="3F8D9292" w:rsidR="00F22D5C" w:rsidRPr="00662882" w:rsidRDefault="00256F45" w:rsidP="00662882">
    <w:pPr>
      <w:pStyle w:val="JuHeader"/>
    </w:pPr>
    <w:r w:rsidRPr="00966B1B">
      <w:t>ARRÊT</w:t>
    </w:r>
    <w:r w:rsidR="00162967" w:rsidRPr="00966B1B">
      <w:t xml:space="preserve"> </w:t>
    </w:r>
    <w:r w:rsidR="00AB3CE0" w:rsidRPr="00966B1B">
      <w:t>VERRASCINA</w:t>
    </w:r>
    <w:r w:rsidR="00966B1B" w:rsidRPr="00966B1B">
      <w:t xml:space="preserve"> ET AUTRES</w:t>
    </w:r>
    <w:r w:rsidR="00AB3CE0" w:rsidRPr="00966B1B">
      <w:t xml:space="preserve"> c. ITALIE</w:t>
    </w:r>
    <w:r w:rsidR="007971FF" w:rsidRPr="00966B1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D07614"/>
    <w:multiLevelType w:val="hybridMultilevel"/>
    <w:tmpl w:val="53DC7FD0"/>
    <w:lvl w:ilvl="0" w:tplc="040C0011">
      <w:start w:val="1"/>
      <w:numFmt w:val="decimal"/>
      <w:lvlText w:val="%1)"/>
      <w:lvlJc w:val="left"/>
      <w:pPr>
        <w:ind w:left="1064" w:hanging="360"/>
      </w:pPr>
    </w:lvl>
    <w:lvl w:ilvl="1" w:tplc="040C0019" w:tentative="1">
      <w:start w:val="1"/>
      <w:numFmt w:val="lowerLetter"/>
      <w:lvlText w:val="%2."/>
      <w:lvlJc w:val="left"/>
      <w:pPr>
        <w:ind w:left="1784" w:hanging="360"/>
      </w:pPr>
    </w:lvl>
    <w:lvl w:ilvl="2" w:tplc="040C001B" w:tentative="1">
      <w:start w:val="1"/>
      <w:numFmt w:val="lowerRoman"/>
      <w:lvlText w:val="%3."/>
      <w:lvlJc w:val="right"/>
      <w:pPr>
        <w:ind w:left="2504" w:hanging="180"/>
      </w:pPr>
    </w:lvl>
    <w:lvl w:ilvl="3" w:tplc="040C000F" w:tentative="1">
      <w:start w:val="1"/>
      <w:numFmt w:val="decimal"/>
      <w:lvlText w:val="%4."/>
      <w:lvlJc w:val="left"/>
      <w:pPr>
        <w:ind w:left="3224" w:hanging="360"/>
      </w:pPr>
    </w:lvl>
    <w:lvl w:ilvl="4" w:tplc="040C0019" w:tentative="1">
      <w:start w:val="1"/>
      <w:numFmt w:val="lowerLetter"/>
      <w:lvlText w:val="%5."/>
      <w:lvlJc w:val="left"/>
      <w:pPr>
        <w:ind w:left="3944" w:hanging="360"/>
      </w:pPr>
    </w:lvl>
    <w:lvl w:ilvl="5" w:tplc="040C001B" w:tentative="1">
      <w:start w:val="1"/>
      <w:numFmt w:val="lowerRoman"/>
      <w:lvlText w:val="%6."/>
      <w:lvlJc w:val="right"/>
      <w:pPr>
        <w:ind w:left="4664" w:hanging="180"/>
      </w:pPr>
    </w:lvl>
    <w:lvl w:ilvl="6" w:tplc="040C000F" w:tentative="1">
      <w:start w:val="1"/>
      <w:numFmt w:val="decimal"/>
      <w:lvlText w:val="%7."/>
      <w:lvlJc w:val="left"/>
      <w:pPr>
        <w:ind w:left="5384" w:hanging="360"/>
      </w:pPr>
    </w:lvl>
    <w:lvl w:ilvl="7" w:tplc="040C0019" w:tentative="1">
      <w:start w:val="1"/>
      <w:numFmt w:val="lowerLetter"/>
      <w:lvlText w:val="%8."/>
      <w:lvlJc w:val="left"/>
      <w:pPr>
        <w:ind w:left="6104" w:hanging="360"/>
      </w:pPr>
    </w:lvl>
    <w:lvl w:ilvl="8" w:tplc="040C001B" w:tentative="1">
      <w:start w:val="1"/>
      <w:numFmt w:val="lowerRoman"/>
      <w:lvlText w:val="%9."/>
      <w:lvlJc w:val="right"/>
      <w:pPr>
        <w:ind w:left="6824" w:hanging="18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2B33995"/>
    <w:multiLevelType w:val="hybridMultilevel"/>
    <w:tmpl w:val="A268E336"/>
    <w:lvl w:ilvl="0" w:tplc="08090001">
      <w:start w:val="1"/>
      <w:numFmt w:val="bullet"/>
      <w:lvlText w:val=""/>
      <w:lvlJc w:val="left"/>
      <w:pPr>
        <w:tabs>
          <w:tab w:val="num" w:pos="720"/>
        </w:tabs>
        <w:ind w:left="720" w:hanging="360"/>
      </w:pPr>
      <w:rPr>
        <w:rFonts w:ascii="Symbol" w:hAnsi="Symbol" w:hint="default"/>
      </w:rPr>
    </w:lvl>
    <w:lvl w:ilvl="1" w:tplc="70B40E2A">
      <w:start w:val="1"/>
      <w:numFmt w:val="bullet"/>
      <w:lvlText w:val=""/>
      <w:lvlJc w:val="left"/>
      <w:pPr>
        <w:tabs>
          <w:tab w:val="num" w:pos="1307"/>
        </w:tabs>
        <w:ind w:left="130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6E6C006D"/>
    <w:multiLevelType w:val="hybridMultilevel"/>
    <w:tmpl w:val="EF4A8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8"/>
  </w:num>
  <w:num w:numId="4">
    <w:abstractNumId w:val="20"/>
  </w:num>
  <w:num w:numId="5">
    <w:abstractNumId w:val="14"/>
  </w:num>
  <w:num w:numId="6">
    <w:abstractNumId w:val="9"/>
  </w:num>
  <w:num w:numId="7">
    <w:abstractNumId w:val="13"/>
  </w:num>
  <w:num w:numId="8">
    <w:abstractNumId w:val="11"/>
  </w:num>
  <w:num w:numId="9">
    <w:abstractNumId w:val="10"/>
  </w:num>
  <w:num w:numId="10">
    <w:abstractNumId w:val="15"/>
  </w:num>
  <w:num w:numId="11">
    <w:abstractNumId w:val="12"/>
  </w:num>
  <w:num w:numId="12">
    <w:abstractNumId w:val="16"/>
  </w:num>
  <w:num w:numId="13">
    <w:abstractNumId w:val="1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3"/>
    <w:docVar w:name="EMM" w:val="0"/>
    <w:docVar w:name="NBApplication" w:val="5"/>
    <w:docVar w:name="NBEMMDOC" w:val="0"/>
    <w:docVar w:name="Plural" w:val="3"/>
  </w:docVars>
  <w:rsids>
    <w:rsidRoot w:val="00AB3CE0"/>
    <w:rsid w:val="000041F8"/>
    <w:rsid w:val="000042A8"/>
    <w:rsid w:val="00004308"/>
    <w:rsid w:val="00005BF0"/>
    <w:rsid w:val="00007154"/>
    <w:rsid w:val="000103AE"/>
    <w:rsid w:val="00011D69"/>
    <w:rsid w:val="00012AD3"/>
    <w:rsid w:val="00015C2D"/>
    <w:rsid w:val="00015F00"/>
    <w:rsid w:val="00022C1D"/>
    <w:rsid w:val="000326DB"/>
    <w:rsid w:val="00034987"/>
    <w:rsid w:val="00045600"/>
    <w:rsid w:val="00051015"/>
    <w:rsid w:val="000602DF"/>
    <w:rsid w:val="00061B05"/>
    <w:rsid w:val="000632D5"/>
    <w:rsid w:val="000644EE"/>
    <w:rsid w:val="000675A9"/>
    <w:rsid w:val="00080ECE"/>
    <w:rsid w:val="00086E4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07"/>
    <w:rsid w:val="000F19D8"/>
    <w:rsid w:val="000F7851"/>
    <w:rsid w:val="0010058D"/>
    <w:rsid w:val="00104E23"/>
    <w:rsid w:val="00111B0C"/>
    <w:rsid w:val="00117CD2"/>
    <w:rsid w:val="00120D6C"/>
    <w:rsid w:val="001257EC"/>
    <w:rsid w:val="00133D33"/>
    <w:rsid w:val="00134D64"/>
    <w:rsid w:val="00135A30"/>
    <w:rsid w:val="0013612C"/>
    <w:rsid w:val="00137FF6"/>
    <w:rsid w:val="00141650"/>
    <w:rsid w:val="00147669"/>
    <w:rsid w:val="001625AD"/>
    <w:rsid w:val="00162967"/>
    <w:rsid w:val="00162A12"/>
    <w:rsid w:val="00166530"/>
    <w:rsid w:val="00181508"/>
    <w:rsid w:val="001832BD"/>
    <w:rsid w:val="001943B5"/>
    <w:rsid w:val="00194C5B"/>
    <w:rsid w:val="00195134"/>
    <w:rsid w:val="001A145B"/>
    <w:rsid w:val="001A2684"/>
    <w:rsid w:val="001A674C"/>
    <w:rsid w:val="001B3B24"/>
    <w:rsid w:val="001C0F98"/>
    <w:rsid w:val="001C2A42"/>
    <w:rsid w:val="001C2B5C"/>
    <w:rsid w:val="001D2D8B"/>
    <w:rsid w:val="001D5A62"/>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9FA"/>
    <w:rsid w:val="00361D45"/>
    <w:rsid w:val="003651F7"/>
    <w:rsid w:val="00367B4F"/>
    <w:rsid w:val="003710C8"/>
    <w:rsid w:val="003722CE"/>
    <w:rsid w:val="003750BE"/>
    <w:rsid w:val="0038306D"/>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057"/>
    <w:rsid w:val="00401F7D"/>
    <w:rsid w:val="0041177B"/>
    <w:rsid w:val="00414300"/>
    <w:rsid w:val="00425C67"/>
    <w:rsid w:val="00427E7A"/>
    <w:rsid w:val="00430380"/>
    <w:rsid w:val="00431C07"/>
    <w:rsid w:val="004344E6"/>
    <w:rsid w:val="00436C49"/>
    <w:rsid w:val="00445366"/>
    <w:rsid w:val="00447F5B"/>
    <w:rsid w:val="00456549"/>
    <w:rsid w:val="004604A0"/>
    <w:rsid w:val="00461DB0"/>
    <w:rsid w:val="00463926"/>
    <w:rsid w:val="00464C9A"/>
    <w:rsid w:val="00471D37"/>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4C4"/>
    <w:rsid w:val="004C1A3F"/>
    <w:rsid w:val="004C1F56"/>
    <w:rsid w:val="004C27BC"/>
    <w:rsid w:val="004D15F3"/>
    <w:rsid w:val="004D5311"/>
    <w:rsid w:val="004D5DCC"/>
    <w:rsid w:val="004E22F1"/>
    <w:rsid w:val="004E438D"/>
    <w:rsid w:val="004F10AF"/>
    <w:rsid w:val="004F11A4"/>
    <w:rsid w:val="004F2389"/>
    <w:rsid w:val="004F304D"/>
    <w:rsid w:val="004F61BE"/>
    <w:rsid w:val="004F66B1"/>
    <w:rsid w:val="0050598E"/>
    <w:rsid w:val="00510D77"/>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0A01"/>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22"/>
    <w:rsid w:val="006E2E37"/>
    <w:rsid w:val="006E3CF1"/>
    <w:rsid w:val="006E7E80"/>
    <w:rsid w:val="006F3032"/>
    <w:rsid w:val="006F48CA"/>
    <w:rsid w:val="006F64DD"/>
    <w:rsid w:val="007068FB"/>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4E99"/>
    <w:rsid w:val="007971FF"/>
    <w:rsid w:val="007A4070"/>
    <w:rsid w:val="007A716F"/>
    <w:rsid w:val="007B270A"/>
    <w:rsid w:val="007C0695"/>
    <w:rsid w:val="007C419A"/>
    <w:rsid w:val="007C4CC8"/>
    <w:rsid w:val="007C5426"/>
    <w:rsid w:val="007C5798"/>
    <w:rsid w:val="007D4832"/>
    <w:rsid w:val="007E21B2"/>
    <w:rsid w:val="007E2C4E"/>
    <w:rsid w:val="007F07FB"/>
    <w:rsid w:val="007F1905"/>
    <w:rsid w:val="008008B8"/>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84261"/>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64D56"/>
    <w:rsid w:val="00966B1B"/>
    <w:rsid w:val="00972B55"/>
    <w:rsid w:val="009743B7"/>
    <w:rsid w:val="00975039"/>
    <w:rsid w:val="00977227"/>
    <w:rsid w:val="0098163F"/>
    <w:rsid w:val="0098228B"/>
    <w:rsid w:val="009828DA"/>
    <w:rsid w:val="00985BAB"/>
    <w:rsid w:val="009A5FDE"/>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3CE0"/>
    <w:rsid w:val="00AB4328"/>
    <w:rsid w:val="00AB5628"/>
    <w:rsid w:val="00AC00C2"/>
    <w:rsid w:val="00AC5872"/>
    <w:rsid w:val="00AD2473"/>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565F"/>
    <w:rsid w:val="00B861B4"/>
    <w:rsid w:val="00B86DFE"/>
    <w:rsid w:val="00B90990"/>
    <w:rsid w:val="00B922FF"/>
    <w:rsid w:val="00B9281E"/>
    <w:rsid w:val="00B93925"/>
    <w:rsid w:val="00B95187"/>
    <w:rsid w:val="00B9590D"/>
    <w:rsid w:val="00BA2D55"/>
    <w:rsid w:val="00BA71B1"/>
    <w:rsid w:val="00BB0637"/>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6549B"/>
    <w:rsid w:val="00C74810"/>
    <w:rsid w:val="00C76984"/>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0E9"/>
    <w:rsid w:val="00EC315E"/>
    <w:rsid w:val="00EC58D1"/>
    <w:rsid w:val="00EC7A41"/>
    <w:rsid w:val="00ED077C"/>
    <w:rsid w:val="00ED1190"/>
    <w:rsid w:val="00ED6544"/>
    <w:rsid w:val="00EE0277"/>
    <w:rsid w:val="00EE3E00"/>
    <w:rsid w:val="00EE5DD2"/>
    <w:rsid w:val="00EF38CA"/>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04E5"/>
    <w:rsid w:val="00FC18F2"/>
    <w:rsid w:val="00FC39E5"/>
    <w:rsid w:val="00FC3A78"/>
    <w:rsid w:val="00FD1005"/>
    <w:rsid w:val="00FD28D4"/>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89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8008B8"/>
    <w:rPr>
      <w:sz w:val="24"/>
      <w:szCs w:val="24"/>
      <w:lang w:val="fr-FR"/>
    </w:rPr>
  </w:style>
  <w:style w:type="paragraph" w:styleId="Titolo1">
    <w:name w:val="heading 1"/>
    <w:basedOn w:val="Normale"/>
    <w:next w:val="Normale"/>
    <w:link w:val="Titolo1Carattere"/>
    <w:uiPriority w:val="98"/>
    <w:semiHidden/>
    <w:rsid w:val="008008B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8008B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8008B8"/>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8008B8"/>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8008B8"/>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8008B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8008B8"/>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8008B8"/>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8008B8"/>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8008B8"/>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8008B8"/>
    <w:rPr>
      <w:rFonts w:ascii="Tahoma" w:hAnsi="Tahoma" w:cs="Tahoma"/>
      <w:sz w:val="16"/>
      <w:szCs w:val="16"/>
      <w:lang w:val="fr-FR"/>
    </w:rPr>
  </w:style>
  <w:style w:type="character" w:styleId="Titolodellibro">
    <w:name w:val="Book Title"/>
    <w:uiPriority w:val="98"/>
    <w:semiHidden/>
    <w:qFormat/>
    <w:rsid w:val="008008B8"/>
    <w:rPr>
      <w:i/>
      <w:iCs/>
      <w:smallCaps/>
      <w:spacing w:val="5"/>
    </w:rPr>
  </w:style>
  <w:style w:type="paragraph" w:customStyle="1" w:styleId="JuHeader">
    <w:name w:val="Ju_Header"/>
    <w:aliases w:val="_Header"/>
    <w:basedOn w:val="Intestazione"/>
    <w:uiPriority w:val="29"/>
    <w:qFormat/>
    <w:rsid w:val="008008B8"/>
    <w:pPr>
      <w:tabs>
        <w:tab w:val="clear" w:pos="4536"/>
        <w:tab w:val="clear" w:pos="9072"/>
      </w:tabs>
      <w:jc w:val="center"/>
    </w:pPr>
    <w:rPr>
      <w:sz w:val="18"/>
    </w:rPr>
  </w:style>
  <w:style w:type="paragraph" w:customStyle="1" w:styleId="DummyStyle">
    <w:name w:val="Dummy_Style"/>
    <w:aliases w:val="_Dummy"/>
    <w:basedOn w:val="Normale"/>
    <w:semiHidden/>
    <w:qFormat/>
    <w:rsid w:val="008008B8"/>
    <w:rPr>
      <w:color w:val="00B050"/>
      <w:sz w:val="22"/>
    </w:rPr>
  </w:style>
  <w:style w:type="character" w:styleId="Enfasigrassetto">
    <w:name w:val="Strong"/>
    <w:uiPriority w:val="98"/>
    <w:semiHidden/>
    <w:qFormat/>
    <w:rsid w:val="008008B8"/>
    <w:rPr>
      <w:b/>
      <w:bCs/>
    </w:rPr>
  </w:style>
  <w:style w:type="paragraph" w:styleId="Nessunaspaziatura">
    <w:name w:val="No Spacing"/>
    <w:basedOn w:val="Normale"/>
    <w:link w:val="NessunaspaziaturaCarattere"/>
    <w:uiPriority w:val="98"/>
    <w:semiHidden/>
    <w:qFormat/>
    <w:rsid w:val="008008B8"/>
  </w:style>
  <w:style w:type="character" w:customStyle="1" w:styleId="NessunaspaziaturaCarattere">
    <w:name w:val="Nessuna spaziatura Carattere"/>
    <w:basedOn w:val="Carpredefinitoparagrafo"/>
    <w:link w:val="Nessunaspaziatura"/>
    <w:uiPriority w:val="98"/>
    <w:semiHidden/>
    <w:rsid w:val="008008B8"/>
    <w:rPr>
      <w:sz w:val="24"/>
      <w:szCs w:val="24"/>
      <w:lang w:val="fr-FR"/>
    </w:rPr>
  </w:style>
  <w:style w:type="paragraph" w:customStyle="1" w:styleId="JuQuot">
    <w:name w:val="Ju_Quot"/>
    <w:aliases w:val="_Quote"/>
    <w:basedOn w:val="NormalJustified"/>
    <w:uiPriority w:val="20"/>
    <w:qFormat/>
    <w:rsid w:val="008008B8"/>
    <w:pPr>
      <w:spacing w:before="120" w:after="120"/>
      <w:ind w:left="425" w:firstLine="142"/>
    </w:pPr>
    <w:rPr>
      <w:sz w:val="20"/>
    </w:rPr>
  </w:style>
  <w:style w:type="paragraph" w:customStyle="1" w:styleId="JuList">
    <w:name w:val="Ju_List"/>
    <w:aliases w:val="_List_1"/>
    <w:basedOn w:val="NormalJustified"/>
    <w:uiPriority w:val="23"/>
    <w:qFormat/>
    <w:rsid w:val="008008B8"/>
    <w:pPr>
      <w:numPr>
        <w:numId w:val="11"/>
      </w:numPr>
      <w:spacing w:before="280" w:after="60"/>
    </w:pPr>
  </w:style>
  <w:style w:type="paragraph" w:customStyle="1" w:styleId="JuLista">
    <w:name w:val="Ju_List_a"/>
    <w:aliases w:val="_List_2"/>
    <w:basedOn w:val="NormalJustified"/>
    <w:uiPriority w:val="23"/>
    <w:rsid w:val="008008B8"/>
    <w:pPr>
      <w:numPr>
        <w:ilvl w:val="1"/>
        <w:numId w:val="11"/>
      </w:numPr>
    </w:pPr>
  </w:style>
  <w:style w:type="paragraph" w:customStyle="1" w:styleId="JuListi">
    <w:name w:val="Ju_List_i"/>
    <w:aliases w:val="_List_3"/>
    <w:basedOn w:val="NormalJustified"/>
    <w:uiPriority w:val="23"/>
    <w:rsid w:val="008008B8"/>
    <w:pPr>
      <w:numPr>
        <w:ilvl w:val="2"/>
        <w:numId w:val="11"/>
      </w:numPr>
    </w:pPr>
  </w:style>
  <w:style w:type="paragraph" w:customStyle="1" w:styleId="DecHTitle">
    <w:name w:val="Dec_H_Title"/>
    <w:aliases w:val="_Title_1"/>
    <w:basedOn w:val="JuPara"/>
    <w:next w:val="JuPara"/>
    <w:uiPriority w:val="38"/>
    <w:qFormat/>
    <w:rsid w:val="008008B8"/>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8008B8"/>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8008B8"/>
    <w:pPr>
      <w:keepNext/>
      <w:keepLines/>
      <w:tabs>
        <w:tab w:val="right" w:pos="7938"/>
      </w:tabs>
      <w:ind w:firstLine="0"/>
      <w:jc w:val="center"/>
    </w:pPr>
    <w:rPr>
      <w:i/>
    </w:rPr>
  </w:style>
  <w:style w:type="numbering" w:customStyle="1" w:styleId="ECHRA1StyleBulletedSquare">
    <w:name w:val="ECHR_A1_Style_Bulleted_Square"/>
    <w:basedOn w:val="Nessunelenco"/>
    <w:rsid w:val="008008B8"/>
    <w:pPr>
      <w:numPr>
        <w:numId w:val="10"/>
      </w:numPr>
    </w:pPr>
  </w:style>
  <w:style w:type="paragraph" w:customStyle="1" w:styleId="JuHHead">
    <w:name w:val="Ju_H_Head"/>
    <w:aliases w:val="_Head_1"/>
    <w:basedOn w:val="Titolo1"/>
    <w:next w:val="JuPara"/>
    <w:uiPriority w:val="17"/>
    <w:qFormat/>
    <w:rsid w:val="008008B8"/>
    <w:pPr>
      <w:keepNext/>
      <w:keepLines/>
      <w:numPr>
        <w:numId w:val="6"/>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8008B8"/>
    <w:pPr>
      <w:numPr>
        <w:numId w:val="1"/>
      </w:numPr>
    </w:pPr>
  </w:style>
  <w:style w:type="paragraph" w:customStyle="1" w:styleId="JuSigned">
    <w:name w:val="Ju_Signed"/>
    <w:aliases w:val="_Signature"/>
    <w:basedOn w:val="Normale"/>
    <w:next w:val="JuPara"/>
    <w:uiPriority w:val="31"/>
    <w:qFormat/>
    <w:rsid w:val="008008B8"/>
    <w:pPr>
      <w:tabs>
        <w:tab w:val="center" w:pos="1418"/>
        <w:tab w:val="center" w:pos="5954"/>
      </w:tabs>
      <w:spacing w:before="720"/>
    </w:pPr>
  </w:style>
  <w:style w:type="paragraph" w:styleId="Titolo">
    <w:name w:val="Title"/>
    <w:basedOn w:val="Normale"/>
    <w:next w:val="Normale"/>
    <w:link w:val="TitoloCarattere"/>
    <w:uiPriority w:val="98"/>
    <w:semiHidden/>
    <w:qFormat/>
    <w:rsid w:val="008008B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8008B8"/>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8008B8"/>
    <w:pPr>
      <w:numPr>
        <w:numId w:val="12"/>
      </w:numPr>
    </w:pPr>
  </w:style>
  <w:style w:type="table" w:customStyle="1" w:styleId="ECHRTable2019">
    <w:name w:val="ECHR_Table_2019"/>
    <w:basedOn w:val="Tabellanormale"/>
    <w:uiPriority w:val="99"/>
    <w:rsid w:val="008008B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8008B8"/>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8008B8"/>
    <w:pPr>
      <w:tabs>
        <w:tab w:val="center" w:pos="6407"/>
      </w:tabs>
      <w:spacing w:before="720"/>
      <w:jc w:val="right"/>
    </w:pPr>
  </w:style>
  <w:style w:type="paragraph" w:customStyle="1" w:styleId="JuHIRoman">
    <w:name w:val="Ju_H_I_Roman"/>
    <w:aliases w:val="_Head_2"/>
    <w:basedOn w:val="Titolo2"/>
    <w:next w:val="JuPara"/>
    <w:uiPriority w:val="17"/>
    <w:qFormat/>
    <w:rsid w:val="008008B8"/>
    <w:pPr>
      <w:keepNext/>
      <w:keepLines/>
      <w:numPr>
        <w:ilvl w:val="1"/>
        <w:numId w:val="6"/>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8008B8"/>
    <w:pPr>
      <w:keepNext/>
      <w:keepLines/>
      <w:numPr>
        <w:ilvl w:val="2"/>
        <w:numId w:val="6"/>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8008B8"/>
    <w:pPr>
      <w:keepNext/>
      <w:keepLines/>
      <w:numPr>
        <w:ilvl w:val="3"/>
        <w:numId w:val="6"/>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8008B8"/>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8008B8"/>
    <w:rPr>
      <w:sz w:val="24"/>
      <w:szCs w:val="24"/>
      <w:lang w:val="fr-FR"/>
    </w:rPr>
  </w:style>
  <w:style w:type="character" w:customStyle="1" w:styleId="Titolo1Carattere">
    <w:name w:val="Titolo 1 Carattere"/>
    <w:basedOn w:val="Carpredefinitoparagrafo"/>
    <w:link w:val="Titolo1"/>
    <w:uiPriority w:val="98"/>
    <w:semiHidden/>
    <w:rsid w:val="008008B8"/>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8008B8"/>
    <w:pPr>
      <w:keepNext/>
      <w:keepLines/>
      <w:numPr>
        <w:ilvl w:val="4"/>
        <w:numId w:val="6"/>
      </w:numPr>
      <w:spacing w:before="100" w:beforeAutospacing="1" w:after="120"/>
      <w:jc w:val="both"/>
    </w:pPr>
    <w:rPr>
      <w:color w:val="auto"/>
      <w:sz w:val="20"/>
    </w:rPr>
  </w:style>
  <w:style w:type="paragraph" w:customStyle="1" w:styleId="JuHi">
    <w:name w:val="Ju_H_i"/>
    <w:aliases w:val="_Head_6"/>
    <w:basedOn w:val="Titolo6"/>
    <w:next w:val="JuPara"/>
    <w:uiPriority w:val="17"/>
    <w:rsid w:val="008008B8"/>
    <w:pPr>
      <w:keepNext/>
      <w:keepLines/>
      <w:numPr>
        <w:ilvl w:val="5"/>
        <w:numId w:val="6"/>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8008B8"/>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8008B8"/>
    <w:pPr>
      <w:keepNext/>
      <w:keepLines/>
      <w:numPr>
        <w:ilvl w:val="6"/>
        <w:numId w:val="6"/>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8008B8"/>
    <w:pPr>
      <w:keepNext/>
      <w:keepLines/>
      <w:numPr>
        <w:ilvl w:val="7"/>
        <w:numId w:val="6"/>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8008B8"/>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8008B8"/>
    <w:pPr>
      <w:keepNext/>
      <w:keepLines/>
      <w:spacing w:before="240" w:after="240"/>
      <w:ind w:firstLine="284"/>
    </w:pPr>
  </w:style>
  <w:style w:type="paragraph" w:customStyle="1" w:styleId="JuJudges">
    <w:name w:val="Ju_Judges"/>
    <w:aliases w:val="_Judges"/>
    <w:basedOn w:val="Normale"/>
    <w:uiPriority w:val="32"/>
    <w:qFormat/>
    <w:rsid w:val="008008B8"/>
    <w:pPr>
      <w:tabs>
        <w:tab w:val="left" w:pos="567"/>
        <w:tab w:val="left" w:pos="1134"/>
      </w:tabs>
    </w:pPr>
  </w:style>
  <w:style w:type="character" w:customStyle="1" w:styleId="Titolo4Carattere">
    <w:name w:val="Titolo 4 Carattere"/>
    <w:basedOn w:val="Carpredefinitoparagrafo"/>
    <w:link w:val="Titolo4"/>
    <w:uiPriority w:val="98"/>
    <w:semiHidden/>
    <w:rsid w:val="008008B8"/>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8008B8"/>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8008B8"/>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8008B8"/>
    <w:rPr>
      <w:caps w:val="0"/>
      <w:smallCaps/>
    </w:rPr>
  </w:style>
  <w:style w:type="paragraph" w:customStyle="1" w:styleId="NormalJustified">
    <w:name w:val="Normal_Justified"/>
    <w:basedOn w:val="Normale"/>
    <w:semiHidden/>
    <w:rsid w:val="008008B8"/>
    <w:pPr>
      <w:jc w:val="both"/>
    </w:pPr>
  </w:style>
  <w:style w:type="character" w:styleId="Enfasidelicata">
    <w:name w:val="Subtle Emphasis"/>
    <w:uiPriority w:val="98"/>
    <w:semiHidden/>
    <w:qFormat/>
    <w:rsid w:val="008008B8"/>
    <w:rPr>
      <w:i/>
      <w:iCs/>
    </w:rPr>
  </w:style>
  <w:style w:type="table" w:customStyle="1" w:styleId="ECHRTable">
    <w:name w:val="ECHR_Table"/>
    <w:basedOn w:val="Tabellanormale"/>
    <w:rsid w:val="008008B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8008B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8008B8"/>
    <w:rPr>
      <w:b/>
      <w:bCs/>
      <w:i/>
      <w:iCs/>
      <w:spacing w:val="10"/>
      <w:bdr w:val="none" w:sz="0" w:space="0" w:color="auto"/>
      <w:shd w:val="clear" w:color="auto" w:fill="auto"/>
    </w:rPr>
  </w:style>
  <w:style w:type="paragraph" w:styleId="Pidipagina">
    <w:name w:val="footer"/>
    <w:basedOn w:val="Normale"/>
    <w:link w:val="PidipaginaCarattere"/>
    <w:uiPriority w:val="98"/>
    <w:semiHidden/>
    <w:rsid w:val="008008B8"/>
    <w:pPr>
      <w:tabs>
        <w:tab w:val="center" w:pos="3686"/>
        <w:tab w:val="right" w:pos="7371"/>
      </w:tabs>
    </w:pPr>
  </w:style>
  <w:style w:type="character" w:customStyle="1" w:styleId="PidipaginaCarattere">
    <w:name w:val="Piè di pagina Carattere"/>
    <w:basedOn w:val="Carpredefinitoparagrafo"/>
    <w:link w:val="Pidipagina"/>
    <w:uiPriority w:val="98"/>
    <w:semiHidden/>
    <w:rsid w:val="008008B8"/>
    <w:rPr>
      <w:sz w:val="24"/>
      <w:szCs w:val="24"/>
      <w:lang w:val="fr-FR"/>
    </w:rPr>
  </w:style>
  <w:style w:type="character" w:styleId="Rimandonotaapidipagina">
    <w:name w:val="footnote reference"/>
    <w:basedOn w:val="Carpredefinitoparagrafo"/>
    <w:uiPriority w:val="98"/>
    <w:semiHidden/>
    <w:rsid w:val="008008B8"/>
    <w:rPr>
      <w:vertAlign w:val="superscript"/>
    </w:rPr>
  </w:style>
  <w:style w:type="paragraph" w:styleId="Testonotaapidipagina">
    <w:name w:val="footnote text"/>
    <w:basedOn w:val="NormalJustified"/>
    <w:link w:val="TestonotaapidipaginaCarattere"/>
    <w:uiPriority w:val="98"/>
    <w:semiHidden/>
    <w:rsid w:val="008008B8"/>
    <w:rPr>
      <w:sz w:val="20"/>
      <w:szCs w:val="20"/>
    </w:rPr>
  </w:style>
  <w:style w:type="character" w:customStyle="1" w:styleId="TestonotaapidipaginaCarattere">
    <w:name w:val="Testo nota a piè di pagina Carattere"/>
    <w:basedOn w:val="Carpredefinitoparagrafo"/>
    <w:link w:val="Testonotaapidipagina"/>
    <w:uiPriority w:val="98"/>
    <w:semiHidden/>
    <w:rsid w:val="008008B8"/>
    <w:rPr>
      <w:sz w:val="20"/>
      <w:szCs w:val="20"/>
      <w:lang w:val="fr-FR"/>
    </w:rPr>
  </w:style>
  <w:style w:type="character" w:customStyle="1" w:styleId="Titolo6Carattere">
    <w:name w:val="Titolo 6 Carattere"/>
    <w:basedOn w:val="Carpredefinitoparagrafo"/>
    <w:link w:val="Titolo6"/>
    <w:uiPriority w:val="98"/>
    <w:semiHidden/>
    <w:rsid w:val="008008B8"/>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8008B8"/>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8008B8"/>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8008B8"/>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8008B8"/>
    <w:rPr>
      <w:color w:val="0072BC" w:themeColor="hyperlink"/>
      <w:u w:val="single"/>
    </w:rPr>
  </w:style>
  <w:style w:type="character" w:styleId="Enfasiintensa">
    <w:name w:val="Intense Emphasis"/>
    <w:uiPriority w:val="98"/>
    <w:semiHidden/>
    <w:qFormat/>
    <w:rsid w:val="008008B8"/>
    <w:rPr>
      <w:b/>
      <w:bCs/>
    </w:rPr>
  </w:style>
  <w:style w:type="paragraph" w:styleId="Citazioneintensa">
    <w:name w:val="Intense Quote"/>
    <w:basedOn w:val="Normale"/>
    <w:next w:val="Normale"/>
    <w:link w:val="CitazioneintensaCarattere"/>
    <w:uiPriority w:val="98"/>
    <w:semiHidden/>
    <w:qFormat/>
    <w:rsid w:val="008008B8"/>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8008B8"/>
    <w:rPr>
      <w:b/>
      <w:bCs/>
      <w:i/>
      <w:iCs/>
      <w:sz w:val="24"/>
      <w:szCs w:val="24"/>
      <w:lang w:val="fr-FR" w:bidi="en-US"/>
    </w:rPr>
  </w:style>
  <w:style w:type="character" w:styleId="Riferimentointenso">
    <w:name w:val="Intense Reference"/>
    <w:uiPriority w:val="98"/>
    <w:semiHidden/>
    <w:qFormat/>
    <w:rsid w:val="008008B8"/>
    <w:rPr>
      <w:smallCaps/>
      <w:spacing w:val="5"/>
      <w:u w:val="single"/>
    </w:rPr>
  </w:style>
  <w:style w:type="paragraph" w:styleId="Paragrafoelenco">
    <w:name w:val="List Paragraph"/>
    <w:basedOn w:val="Normale"/>
    <w:uiPriority w:val="98"/>
    <w:semiHidden/>
    <w:qFormat/>
    <w:rsid w:val="008008B8"/>
    <w:pPr>
      <w:ind w:left="720"/>
      <w:contextualSpacing/>
    </w:pPr>
  </w:style>
  <w:style w:type="table" w:customStyle="1" w:styleId="LtrTableAddress">
    <w:name w:val="Ltr_Table_Address"/>
    <w:aliases w:val="ECHR_Ltr_Table_Address"/>
    <w:basedOn w:val="Tabellanormale"/>
    <w:uiPriority w:val="99"/>
    <w:rsid w:val="008008B8"/>
    <w:rPr>
      <w:sz w:val="24"/>
      <w:szCs w:val="24"/>
    </w:rPr>
    <w:tblPr>
      <w:tblInd w:w="5103" w:type="dxa"/>
    </w:tblPr>
  </w:style>
  <w:style w:type="paragraph" w:styleId="Citazione">
    <w:name w:val="Quote"/>
    <w:basedOn w:val="Normale"/>
    <w:next w:val="Normale"/>
    <w:link w:val="CitazioneCarattere"/>
    <w:uiPriority w:val="98"/>
    <w:semiHidden/>
    <w:qFormat/>
    <w:rsid w:val="008008B8"/>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8008B8"/>
    <w:rPr>
      <w:i/>
      <w:iCs/>
      <w:sz w:val="24"/>
      <w:szCs w:val="24"/>
      <w:lang w:val="fr-FR" w:bidi="en-US"/>
    </w:rPr>
  </w:style>
  <w:style w:type="character" w:styleId="Riferimentodelicato">
    <w:name w:val="Subtle Reference"/>
    <w:uiPriority w:val="98"/>
    <w:semiHidden/>
    <w:qFormat/>
    <w:rsid w:val="008008B8"/>
    <w:rPr>
      <w:smallCaps/>
    </w:rPr>
  </w:style>
  <w:style w:type="table" w:styleId="Grigliatabella">
    <w:name w:val="Table Grid"/>
    <w:basedOn w:val="Tabellanormale"/>
    <w:uiPriority w:val="59"/>
    <w:semiHidden/>
    <w:rsid w:val="008008B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8008B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8008B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8008B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8008B8"/>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8008B8"/>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8008B8"/>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8008B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8008B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8008B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008B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8008B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8008B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8008B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8008B8"/>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8008B8"/>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8008B8"/>
    <w:pPr>
      <w:numPr>
        <w:numId w:val="7"/>
      </w:numPr>
    </w:pPr>
  </w:style>
  <w:style w:type="paragraph" w:customStyle="1" w:styleId="JuPara">
    <w:name w:val="Ju_Para"/>
    <w:aliases w:val="_Para"/>
    <w:basedOn w:val="NormalJustified"/>
    <w:link w:val="JuParaChar"/>
    <w:uiPriority w:val="4"/>
    <w:qFormat/>
    <w:rsid w:val="008008B8"/>
    <w:pPr>
      <w:ind w:firstLine="284"/>
    </w:pPr>
  </w:style>
  <w:style w:type="numbering" w:styleId="1ai">
    <w:name w:val="Outline List 1"/>
    <w:basedOn w:val="Nessunelenco"/>
    <w:uiPriority w:val="99"/>
    <w:semiHidden/>
    <w:unhideWhenUsed/>
    <w:rsid w:val="008008B8"/>
    <w:pPr>
      <w:numPr>
        <w:numId w:val="8"/>
      </w:numPr>
    </w:pPr>
  </w:style>
  <w:style w:type="table" w:customStyle="1" w:styleId="ECHRTableSimpleBox">
    <w:name w:val="ECHR_Table_Simple_Box"/>
    <w:basedOn w:val="Tabellanormale"/>
    <w:uiPriority w:val="99"/>
    <w:rsid w:val="008008B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8008B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8008B8"/>
    <w:pPr>
      <w:numPr>
        <w:numId w:val="9"/>
      </w:numPr>
    </w:pPr>
  </w:style>
  <w:style w:type="table" w:customStyle="1" w:styleId="ECHRTableForInternalUse">
    <w:name w:val="ECHR_Table_For_Internal_Use"/>
    <w:basedOn w:val="Tabellanormale"/>
    <w:uiPriority w:val="99"/>
    <w:rsid w:val="008008B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8008B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8008B8"/>
  </w:style>
  <w:style w:type="paragraph" w:styleId="Testodelblocco">
    <w:name w:val="Block Text"/>
    <w:basedOn w:val="Normale"/>
    <w:uiPriority w:val="98"/>
    <w:semiHidden/>
    <w:rsid w:val="008008B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8008B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8008B8"/>
    <w:pPr>
      <w:spacing w:after="120"/>
    </w:pPr>
  </w:style>
  <w:style w:type="character" w:customStyle="1" w:styleId="CorpotestoCarattere">
    <w:name w:val="Corpo testo Carattere"/>
    <w:basedOn w:val="Carpredefinitoparagrafo"/>
    <w:link w:val="Corpotesto"/>
    <w:uiPriority w:val="98"/>
    <w:semiHidden/>
    <w:rsid w:val="008008B8"/>
    <w:rPr>
      <w:sz w:val="24"/>
      <w:szCs w:val="24"/>
      <w:lang w:val="fr-FR"/>
    </w:rPr>
  </w:style>
  <w:style w:type="table" w:customStyle="1" w:styleId="ECHRTableOddBanded">
    <w:name w:val="ECHR_Table_Odd_Banded"/>
    <w:basedOn w:val="Tabellanormale"/>
    <w:uiPriority w:val="99"/>
    <w:rsid w:val="008008B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8008B8"/>
    <w:pPr>
      <w:spacing w:after="120" w:line="480" w:lineRule="auto"/>
    </w:pPr>
  </w:style>
  <w:style w:type="table" w:customStyle="1" w:styleId="ECHRHeaderTableReduced">
    <w:name w:val="ECHR_Header_Table_Reduced"/>
    <w:basedOn w:val="Tabellanormale"/>
    <w:uiPriority w:val="99"/>
    <w:rsid w:val="008008B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8008B8"/>
    <w:pPr>
      <w:ind w:firstLine="284"/>
    </w:pPr>
    <w:rPr>
      <w:b/>
    </w:rPr>
  </w:style>
  <w:style w:type="character" w:styleId="Numeropagina">
    <w:name w:val="page number"/>
    <w:uiPriority w:val="98"/>
    <w:semiHidden/>
    <w:rsid w:val="008008B8"/>
    <w:rPr>
      <w:sz w:val="18"/>
    </w:rPr>
  </w:style>
  <w:style w:type="paragraph" w:styleId="Puntoelenco2">
    <w:name w:val="List Bullet 2"/>
    <w:basedOn w:val="Normale"/>
    <w:uiPriority w:val="98"/>
    <w:semiHidden/>
    <w:rsid w:val="008008B8"/>
    <w:pPr>
      <w:numPr>
        <w:numId w:val="14"/>
      </w:numPr>
      <w:contextualSpacing/>
    </w:pPr>
  </w:style>
  <w:style w:type="character" w:customStyle="1" w:styleId="Corpodeltesto2Carattere">
    <w:name w:val="Corpo del testo 2 Carattere"/>
    <w:basedOn w:val="Carpredefinitoparagrafo"/>
    <w:link w:val="Corpodeltesto2"/>
    <w:uiPriority w:val="98"/>
    <w:semiHidden/>
    <w:rsid w:val="008008B8"/>
    <w:rPr>
      <w:sz w:val="24"/>
      <w:szCs w:val="24"/>
      <w:lang w:val="fr-FR"/>
    </w:rPr>
  </w:style>
  <w:style w:type="paragraph" w:styleId="Corpodeltesto3">
    <w:name w:val="Body Text 3"/>
    <w:basedOn w:val="Normale"/>
    <w:link w:val="Corpodeltesto3Carattere"/>
    <w:uiPriority w:val="98"/>
    <w:semiHidden/>
    <w:rsid w:val="008008B8"/>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8008B8"/>
    <w:rPr>
      <w:sz w:val="16"/>
      <w:szCs w:val="16"/>
      <w:lang w:val="fr-FR"/>
    </w:rPr>
  </w:style>
  <w:style w:type="paragraph" w:styleId="Primorientrocorpodeltesto">
    <w:name w:val="Body Text First Indent"/>
    <w:basedOn w:val="Corpotesto"/>
    <w:link w:val="PrimorientrocorpodeltestoCarattere"/>
    <w:uiPriority w:val="98"/>
    <w:semiHidden/>
    <w:rsid w:val="008008B8"/>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8008B8"/>
    <w:rPr>
      <w:sz w:val="24"/>
      <w:szCs w:val="24"/>
      <w:lang w:val="fr-FR"/>
    </w:rPr>
  </w:style>
  <w:style w:type="paragraph" w:styleId="Rientrocorpodeltesto">
    <w:name w:val="Body Text Indent"/>
    <w:basedOn w:val="Normale"/>
    <w:link w:val="RientrocorpodeltestoCarattere"/>
    <w:uiPriority w:val="98"/>
    <w:semiHidden/>
    <w:rsid w:val="008008B8"/>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8008B8"/>
    <w:rPr>
      <w:sz w:val="24"/>
      <w:szCs w:val="24"/>
      <w:lang w:val="fr-FR"/>
    </w:rPr>
  </w:style>
  <w:style w:type="paragraph" w:styleId="Primorientrocorpodeltesto2">
    <w:name w:val="Body Text First Indent 2"/>
    <w:basedOn w:val="Rientrocorpodeltesto"/>
    <w:link w:val="Primorientrocorpodeltesto2Carattere"/>
    <w:uiPriority w:val="98"/>
    <w:semiHidden/>
    <w:rsid w:val="008008B8"/>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8008B8"/>
    <w:rPr>
      <w:sz w:val="24"/>
      <w:szCs w:val="24"/>
      <w:lang w:val="fr-FR"/>
    </w:rPr>
  </w:style>
  <w:style w:type="paragraph" w:styleId="Rientrocorpodeltesto2">
    <w:name w:val="Body Text Indent 2"/>
    <w:basedOn w:val="Normale"/>
    <w:link w:val="Rientrocorpodeltesto2Carattere"/>
    <w:uiPriority w:val="98"/>
    <w:semiHidden/>
    <w:rsid w:val="008008B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8008B8"/>
    <w:rPr>
      <w:sz w:val="24"/>
      <w:szCs w:val="24"/>
      <w:lang w:val="fr-FR"/>
    </w:rPr>
  </w:style>
  <w:style w:type="paragraph" w:styleId="Rientrocorpodeltesto3">
    <w:name w:val="Body Text Indent 3"/>
    <w:basedOn w:val="Normale"/>
    <w:link w:val="Rientrocorpodeltesto3Carattere"/>
    <w:uiPriority w:val="98"/>
    <w:semiHidden/>
    <w:rsid w:val="008008B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8008B8"/>
    <w:rPr>
      <w:sz w:val="16"/>
      <w:szCs w:val="16"/>
      <w:lang w:val="fr-FR"/>
    </w:rPr>
  </w:style>
  <w:style w:type="paragraph" w:styleId="Didascalia">
    <w:name w:val="caption"/>
    <w:basedOn w:val="Normale"/>
    <w:next w:val="Normale"/>
    <w:uiPriority w:val="98"/>
    <w:semiHidden/>
    <w:qFormat/>
    <w:rsid w:val="008008B8"/>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8008B8"/>
    <w:pPr>
      <w:ind w:left="4252"/>
    </w:pPr>
  </w:style>
  <w:style w:type="character" w:customStyle="1" w:styleId="FormuladichiusuraCarattere">
    <w:name w:val="Formula di chiusura Carattere"/>
    <w:basedOn w:val="Carpredefinitoparagrafo"/>
    <w:link w:val="Formuladichiusura"/>
    <w:uiPriority w:val="98"/>
    <w:semiHidden/>
    <w:rsid w:val="008008B8"/>
    <w:rPr>
      <w:sz w:val="24"/>
      <w:szCs w:val="24"/>
      <w:lang w:val="fr-FR"/>
    </w:rPr>
  </w:style>
  <w:style w:type="table" w:styleId="Grigliaacolori">
    <w:name w:val="Colorful Grid"/>
    <w:basedOn w:val="Tabellanormale"/>
    <w:uiPriority w:val="73"/>
    <w:semiHidden/>
    <w:rsid w:val="008008B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8008B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8008B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8008B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8008B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8008B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8008B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8008B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8008B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8008B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8008B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8008B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8008B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8008B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8008B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8008B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8008B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8008B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8008B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8008B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8008B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8008B8"/>
    <w:rPr>
      <w:sz w:val="16"/>
      <w:szCs w:val="16"/>
    </w:rPr>
  </w:style>
  <w:style w:type="paragraph" w:styleId="Testocommento">
    <w:name w:val="annotation text"/>
    <w:basedOn w:val="Normale"/>
    <w:link w:val="TestocommentoCarattere"/>
    <w:uiPriority w:val="98"/>
    <w:semiHidden/>
    <w:rsid w:val="008008B8"/>
    <w:rPr>
      <w:sz w:val="20"/>
      <w:szCs w:val="20"/>
    </w:rPr>
  </w:style>
  <w:style w:type="character" w:customStyle="1" w:styleId="TestocommentoCarattere">
    <w:name w:val="Testo commento Carattere"/>
    <w:basedOn w:val="Carpredefinitoparagrafo"/>
    <w:link w:val="Testocommento"/>
    <w:uiPriority w:val="98"/>
    <w:semiHidden/>
    <w:rsid w:val="008008B8"/>
    <w:rPr>
      <w:sz w:val="20"/>
      <w:szCs w:val="20"/>
      <w:lang w:val="fr-FR"/>
    </w:rPr>
  </w:style>
  <w:style w:type="paragraph" w:styleId="Soggettocommento">
    <w:name w:val="annotation subject"/>
    <w:basedOn w:val="Testocommento"/>
    <w:next w:val="Testocommento"/>
    <w:link w:val="SoggettocommentoCarattere"/>
    <w:uiPriority w:val="98"/>
    <w:semiHidden/>
    <w:rsid w:val="008008B8"/>
    <w:rPr>
      <w:b/>
      <w:bCs/>
    </w:rPr>
  </w:style>
  <w:style w:type="character" w:customStyle="1" w:styleId="SoggettocommentoCarattere">
    <w:name w:val="Soggetto commento Carattere"/>
    <w:basedOn w:val="TestocommentoCarattere"/>
    <w:link w:val="Soggettocommento"/>
    <w:uiPriority w:val="98"/>
    <w:semiHidden/>
    <w:rsid w:val="008008B8"/>
    <w:rPr>
      <w:b/>
      <w:bCs/>
      <w:sz w:val="20"/>
      <w:szCs w:val="20"/>
      <w:lang w:val="fr-FR"/>
    </w:rPr>
  </w:style>
  <w:style w:type="table" w:styleId="Elencoscuro">
    <w:name w:val="Dark List"/>
    <w:basedOn w:val="Tabellanormale"/>
    <w:uiPriority w:val="70"/>
    <w:semiHidden/>
    <w:rsid w:val="008008B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8008B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8008B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8008B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8008B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8008B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8008B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8008B8"/>
  </w:style>
  <w:style w:type="character" w:customStyle="1" w:styleId="DataCarattere">
    <w:name w:val="Data Carattere"/>
    <w:basedOn w:val="Carpredefinitoparagrafo"/>
    <w:link w:val="Data"/>
    <w:uiPriority w:val="98"/>
    <w:semiHidden/>
    <w:rsid w:val="008008B8"/>
    <w:rPr>
      <w:sz w:val="24"/>
      <w:szCs w:val="24"/>
      <w:lang w:val="fr-FR"/>
    </w:rPr>
  </w:style>
  <w:style w:type="paragraph" w:styleId="Mappadocumento">
    <w:name w:val="Document Map"/>
    <w:basedOn w:val="Normale"/>
    <w:link w:val="MappadocumentoCarattere"/>
    <w:uiPriority w:val="98"/>
    <w:semiHidden/>
    <w:rsid w:val="008008B8"/>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8008B8"/>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8008B8"/>
  </w:style>
  <w:style w:type="character" w:customStyle="1" w:styleId="FirmadipostaelettronicaCarattere">
    <w:name w:val="Firma di posta elettronica Carattere"/>
    <w:basedOn w:val="Carpredefinitoparagrafo"/>
    <w:link w:val="Firmadipostaelettronica"/>
    <w:uiPriority w:val="98"/>
    <w:semiHidden/>
    <w:rsid w:val="008008B8"/>
    <w:rPr>
      <w:sz w:val="24"/>
      <w:szCs w:val="24"/>
      <w:lang w:val="fr-FR"/>
    </w:rPr>
  </w:style>
  <w:style w:type="character" w:styleId="Rimandonotadichiusura">
    <w:name w:val="endnote reference"/>
    <w:basedOn w:val="Carpredefinitoparagrafo"/>
    <w:uiPriority w:val="98"/>
    <w:semiHidden/>
    <w:rsid w:val="008008B8"/>
    <w:rPr>
      <w:vertAlign w:val="superscript"/>
    </w:rPr>
  </w:style>
  <w:style w:type="paragraph" w:styleId="Testonotadichiusura">
    <w:name w:val="endnote text"/>
    <w:basedOn w:val="Normale"/>
    <w:link w:val="TestonotadichiusuraCarattere"/>
    <w:uiPriority w:val="98"/>
    <w:semiHidden/>
    <w:rsid w:val="008008B8"/>
    <w:rPr>
      <w:sz w:val="20"/>
      <w:szCs w:val="20"/>
    </w:rPr>
  </w:style>
  <w:style w:type="character" w:customStyle="1" w:styleId="TestonotadichiusuraCarattere">
    <w:name w:val="Testo nota di chiusura Carattere"/>
    <w:basedOn w:val="Carpredefinitoparagrafo"/>
    <w:link w:val="Testonotadichiusura"/>
    <w:uiPriority w:val="98"/>
    <w:semiHidden/>
    <w:rsid w:val="008008B8"/>
    <w:rPr>
      <w:sz w:val="20"/>
      <w:szCs w:val="20"/>
      <w:lang w:val="fr-FR"/>
    </w:rPr>
  </w:style>
  <w:style w:type="paragraph" w:styleId="Indirizzodestinatario">
    <w:name w:val="envelope address"/>
    <w:basedOn w:val="Normale"/>
    <w:uiPriority w:val="98"/>
    <w:semiHidden/>
    <w:rsid w:val="008008B8"/>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8008B8"/>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8008B8"/>
    <w:rPr>
      <w:color w:val="7030A0" w:themeColor="followedHyperlink"/>
      <w:u w:val="single"/>
    </w:rPr>
  </w:style>
  <w:style w:type="character" w:styleId="AcronimoHTML">
    <w:name w:val="HTML Acronym"/>
    <w:basedOn w:val="Carpredefinitoparagrafo"/>
    <w:uiPriority w:val="98"/>
    <w:semiHidden/>
    <w:rsid w:val="008008B8"/>
  </w:style>
  <w:style w:type="paragraph" w:styleId="IndirizzoHTML">
    <w:name w:val="HTML Address"/>
    <w:basedOn w:val="Normale"/>
    <w:link w:val="IndirizzoHTMLCarattere"/>
    <w:uiPriority w:val="98"/>
    <w:semiHidden/>
    <w:rsid w:val="008008B8"/>
    <w:rPr>
      <w:i/>
      <w:iCs/>
    </w:rPr>
  </w:style>
  <w:style w:type="character" w:customStyle="1" w:styleId="IndirizzoHTMLCarattere">
    <w:name w:val="Indirizzo HTML Carattere"/>
    <w:basedOn w:val="Carpredefinitoparagrafo"/>
    <w:link w:val="IndirizzoHTML"/>
    <w:uiPriority w:val="98"/>
    <w:semiHidden/>
    <w:rsid w:val="008008B8"/>
    <w:rPr>
      <w:i/>
      <w:iCs/>
      <w:sz w:val="24"/>
      <w:szCs w:val="24"/>
      <w:lang w:val="fr-FR"/>
    </w:rPr>
  </w:style>
  <w:style w:type="character" w:styleId="CitazioneHTML">
    <w:name w:val="HTML Cite"/>
    <w:basedOn w:val="Carpredefinitoparagrafo"/>
    <w:uiPriority w:val="98"/>
    <w:semiHidden/>
    <w:rsid w:val="008008B8"/>
    <w:rPr>
      <w:i/>
      <w:iCs/>
    </w:rPr>
  </w:style>
  <w:style w:type="character" w:styleId="CodiceHTML">
    <w:name w:val="HTML Code"/>
    <w:basedOn w:val="Carpredefinitoparagrafo"/>
    <w:uiPriority w:val="98"/>
    <w:semiHidden/>
    <w:rsid w:val="008008B8"/>
    <w:rPr>
      <w:rFonts w:ascii="Consolas" w:hAnsi="Consolas" w:cs="Consolas"/>
      <w:sz w:val="20"/>
      <w:szCs w:val="20"/>
    </w:rPr>
  </w:style>
  <w:style w:type="character" w:styleId="DefinizioneHTML">
    <w:name w:val="HTML Definition"/>
    <w:basedOn w:val="Carpredefinitoparagrafo"/>
    <w:uiPriority w:val="98"/>
    <w:semiHidden/>
    <w:rsid w:val="008008B8"/>
    <w:rPr>
      <w:i/>
      <w:iCs/>
    </w:rPr>
  </w:style>
  <w:style w:type="character" w:styleId="TastieraHTML">
    <w:name w:val="HTML Keyboard"/>
    <w:basedOn w:val="Carpredefinitoparagrafo"/>
    <w:uiPriority w:val="98"/>
    <w:semiHidden/>
    <w:rsid w:val="008008B8"/>
    <w:rPr>
      <w:rFonts w:ascii="Consolas" w:hAnsi="Consolas" w:cs="Consolas"/>
      <w:sz w:val="20"/>
      <w:szCs w:val="20"/>
    </w:rPr>
  </w:style>
  <w:style w:type="paragraph" w:styleId="PreformattatoHTML">
    <w:name w:val="HTML Preformatted"/>
    <w:basedOn w:val="Normale"/>
    <w:link w:val="PreformattatoHTMLCarattere"/>
    <w:uiPriority w:val="98"/>
    <w:semiHidden/>
    <w:rsid w:val="008008B8"/>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8008B8"/>
    <w:rPr>
      <w:rFonts w:ascii="Consolas" w:hAnsi="Consolas" w:cs="Consolas"/>
      <w:sz w:val="20"/>
      <w:szCs w:val="20"/>
      <w:lang w:val="fr-FR"/>
    </w:rPr>
  </w:style>
  <w:style w:type="character" w:styleId="EsempioHTML">
    <w:name w:val="HTML Sample"/>
    <w:basedOn w:val="Carpredefinitoparagrafo"/>
    <w:uiPriority w:val="98"/>
    <w:semiHidden/>
    <w:rsid w:val="008008B8"/>
    <w:rPr>
      <w:rFonts w:ascii="Consolas" w:hAnsi="Consolas" w:cs="Consolas"/>
      <w:sz w:val="24"/>
      <w:szCs w:val="24"/>
    </w:rPr>
  </w:style>
  <w:style w:type="character" w:styleId="MacchinadascrivereHTML">
    <w:name w:val="HTML Typewriter"/>
    <w:basedOn w:val="Carpredefinitoparagrafo"/>
    <w:uiPriority w:val="98"/>
    <w:semiHidden/>
    <w:rsid w:val="008008B8"/>
    <w:rPr>
      <w:rFonts w:ascii="Consolas" w:hAnsi="Consolas" w:cs="Consolas"/>
      <w:sz w:val="20"/>
      <w:szCs w:val="20"/>
    </w:rPr>
  </w:style>
  <w:style w:type="character" w:styleId="VariabileHTML">
    <w:name w:val="HTML Variable"/>
    <w:basedOn w:val="Carpredefinitoparagrafo"/>
    <w:uiPriority w:val="98"/>
    <w:semiHidden/>
    <w:rsid w:val="008008B8"/>
    <w:rPr>
      <w:i/>
      <w:iCs/>
    </w:rPr>
  </w:style>
  <w:style w:type="paragraph" w:styleId="Indice1">
    <w:name w:val="index 1"/>
    <w:basedOn w:val="Normale"/>
    <w:next w:val="Normale"/>
    <w:autoRedefine/>
    <w:uiPriority w:val="98"/>
    <w:semiHidden/>
    <w:rsid w:val="008008B8"/>
    <w:pPr>
      <w:ind w:left="240" w:hanging="240"/>
    </w:pPr>
  </w:style>
  <w:style w:type="paragraph" w:styleId="Indice2">
    <w:name w:val="index 2"/>
    <w:basedOn w:val="Normale"/>
    <w:next w:val="Normale"/>
    <w:autoRedefine/>
    <w:uiPriority w:val="98"/>
    <w:semiHidden/>
    <w:rsid w:val="008008B8"/>
    <w:pPr>
      <w:ind w:left="480" w:hanging="240"/>
    </w:pPr>
  </w:style>
  <w:style w:type="paragraph" w:styleId="Indice3">
    <w:name w:val="index 3"/>
    <w:basedOn w:val="Normale"/>
    <w:next w:val="Normale"/>
    <w:autoRedefine/>
    <w:uiPriority w:val="98"/>
    <w:semiHidden/>
    <w:rsid w:val="008008B8"/>
    <w:pPr>
      <w:ind w:left="720" w:hanging="240"/>
    </w:pPr>
  </w:style>
  <w:style w:type="paragraph" w:styleId="Indice4">
    <w:name w:val="index 4"/>
    <w:basedOn w:val="Normale"/>
    <w:next w:val="Normale"/>
    <w:autoRedefine/>
    <w:uiPriority w:val="98"/>
    <w:semiHidden/>
    <w:rsid w:val="008008B8"/>
    <w:pPr>
      <w:ind w:left="960" w:hanging="240"/>
    </w:pPr>
  </w:style>
  <w:style w:type="paragraph" w:styleId="Indice5">
    <w:name w:val="index 5"/>
    <w:basedOn w:val="Normale"/>
    <w:next w:val="Normale"/>
    <w:autoRedefine/>
    <w:uiPriority w:val="98"/>
    <w:semiHidden/>
    <w:rsid w:val="008008B8"/>
    <w:pPr>
      <w:ind w:left="1200" w:hanging="240"/>
    </w:pPr>
  </w:style>
  <w:style w:type="paragraph" w:styleId="Indice6">
    <w:name w:val="index 6"/>
    <w:basedOn w:val="Normale"/>
    <w:next w:val="Normale"/>
    <w:autoRedefine/>
    <w:uiPriority w:val="98"/>
    <w:semiHidden/>
    <w:rsid w:val="008008B8"/>
    <w:pPr>
      <w:ind w:left="1440" w:hanging="240"/>
    </w:pPr>
  </w:style>
  <w:style w:type="paragraph" w:styleId="Indice7">
    <w:name w:val="index 7"/>
    <w:basedOn w:val="Normale"/>
    <w:next w:val="Normale"/>
    <w:autoRedefine/>
    <w:uiPriority w:val="98"/>
    <w:semiHidden/>
    <w:rsid w:val="008008B8"/>
    <w:pPr>
      <w:ind w:left="1680" w:hanging="240"/>
    </w:pPr>
  </w:style>
  <w:style w:type="paragraph" w:styleId="Indice8">
    <w:name w:val="index 8"/>
    <w:basedOn w:val="Normale"/>
    <w:next w:val="Normale"/>
    <w:autoRedefine/>
    <w:uiPriority w:val="98"/>
    <w:semiHidden/>
    <w:rsid w:val="008008B8"/>
    <w:pPr>
      <w:ind w:left="1920" w:hanging="240"/>
    </w:pPr>
  </w:style>
  <w:style w:type="paragraph" w:styleId="Indice9">
    <w:name w:val="index 9"/>
    <w:basedOn w:val="Normale"/>
    <w:next w:val="Normale"/>
    <w:autoRedefine/>
    <w:uiPriority w:val="98"/>
    <w:semiHidden/>
    <w:rsid w:val="008008B8"/>
    <w:pPr>
      <w:ind w:left="2160" w:hanging="240"/>
    </w:pPr>
  </w:style>
  <w:style w:type="paragraph" w:styleId="Titoloindice">
    <w:name w:val="index heading"/>
    <w:basedOn w:val="Normale"/>
    <w:next w:val="Indice1"/>
    <w:uiPriority w:val="98"/>
    <w:semiHidden/>
    <w:rsid w:val="008008B8"/>
    <w:rPr>
      <w:rFonts w:asciiTheme="majorHAnsi" w:eastAsiaTheme="majorEastAsia" w:hAnsiTheme="majorHAnsi" w:cstheme="majorBidi"/>
      <w:b/>
      <w:bCs/>
    </w:rPr>
  </w:style>
  <w:style w:type="table" w:styleId="Grigliachiara">
    <w:name w:val="Light Grid"/>
    <w:basedOn w:val="Tabellanormale"/>
    <w:uiPriority w:val="62"/>
    <w:semiHidden/>
    <w:rsid w:val="008008B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8008B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8008B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8008B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8008B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8008B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8008B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8008B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8008B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8008B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8008B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8008B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8008B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8008B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8008B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8008B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8008B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8008B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8008B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8008B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8008B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8008B8"/>
  </w:style>
  <w:style w:type="paragraph" w:styleId="Elenco">
    <w:name w:val="List"/>
    <w:basedOn w:val="Normale"/>
    <w:uiPriority w:val="98"/>
    <w:semiHidden/>
    <w:rsid w:val="008008B8"/>
    <w:pPr>
      <w:ind w:left="283" w:hanging="283"/>
      <w:contextualSpacing/>
    </w:pPr>
  </w:style>
  <w:style w:type="paragraph" w:styleId="Elenco2">
    <w:name w:val="List 2"/>
    <w:basedOn w:val="Normale"/>
    <w:uiPriority w:val="98"/>
    <w:semiHidden/>
    <w:rsid w:val="008008B8"/>
    <w:pPr>
      <w:ind w:left="566" w:hanging="283"/>
      <w:contextualSpacing/>
    </w:pPr>
  </w:style>
  <w:style w:type="paragraph" w:styleId="Elenco3">
    <w:name w:val="List 3"/>
    <w:basedOn w:val="Normale"/>
    <w:uiPriority w:val="98"/>
    <w:semiHidden/>
    <w:rsid w:val="008008B8"/>
    <w:pPr>
      <w:ind w:left="849" w:hanging="283"/>
      <w:contextualSpacing/>
    </w:pPr>
  </w:style>
  <w:style w:type="paragraph" w:styleId="Elenco4">
    <w:name w:val="List 4"/>
    <w:basedOn w:val="Normale"/>
    <w:uiPriority w:val="98"/>
    <w:semiHidden/>
    <w:rsid w:val="008008B8"/>
    <w:pPr>
      <w:ind w:left="1132" w:hanging="283"/>
      <w:contextualSpacing/>
    </w:pPr>
  </w:style>
  <w:style w:type="paragraph" w:styleId="Elenco5">
    <w:name w:val="List 5"/>
    <w:basedOn w:val="Normale"/>
    <w:uiPriority w:val="98"/>
    <w:semiHidden/>
    <w:rsid w:val="008008B8"/>
    <w:pPr>
      <w:ind w:left="1415" w:hanging="283"/>
      <w:contextualSpacing/>
    </w:pPr>
  </w:style>
  <w:style w:type="paragraph" w:styleId="Puntoelenco">
    <w:name w:val="List Bullet"/>
    <w:basedOn w:val="Normale"/>
    <w:uiPriority w:val="98"/>
    <w:semiHidden/>
    <w:rsid w:val="008008B8"/>
    <w:pPr>
      <w:numPr>
        <w:numId w:val="13"/>
      </w:numPr>
    </w:pPr>
  </w:style>
  <w:style w:type="paragraph" w:styleId="Puntoelenco3">
    <w:name w:val="List Bullet 3"/>
    <w:basedOn w:val="Normale"/>
    <w:uiPriority w:val="98"/>
    <w:semiHidden/>
    <w:rsid w:val="008008B8"/>
    <w:pPr>
      <w:numPr>
        <w:numId w:val="15"/>
      </w:numPr>
      <w:contextualSpacing/>
    </w:pPr>
  </w:style>
  <w:style w:type="paragraph" w:styleId="Puntoelenco4">
    <w:name w:val="List Bullet 4"/>
    <w:basedOn w:val="Normale"/>
    <w:uiPriority w:val="98"/>
    <w:semiHidden/>
    <w:rsid w:val="008008B8"/>
    <w:pPr>
      <w:numPr>
        <w:numId w:val="16"/>
      </w:numPr>
      <w:contextualSpacing/>
    </w:pPr>
  </w:style>
  <w:style w:type="paragraph" w:styleId="Puntoelenco5">
    <w:name w:val="List Bullet 5"/>
    <w:basedOn w:val="Normale"/>
    <w:uiPriority w:val="98"/>
    <w:semiHidden/>
    <w:rsid w:val="008008B8"/>
    <w:pPr>
      <w:numPr>
        <w:numId w:val="17"/>
      </w:numPr>
      <w:contextualSpacing/>
    </w:pPr>
  </w:style>
  <w:style w:type="paragraph" w:styleId="Elencocontinua">
    <w:name w:val="List Continue"/>
    <w:basedOn w:val="Normale"/>
    <w:uiPriority w:val="98"/>
    <w:semiHidden/>
    <w:rsid w:val="008008B8"/>
    <w:pPr>
      <w:spacing w:after="120"/>
      <w:ind w:left="283"/>
      <w:contextualSpacing/>
    </w:pPr>
  </w:style>
  <w:style w:type="paragraph" w:styleId="Elencocontinua2">
    <w:name w:val="List Continue 2"/>
    <w:basedOn w:val="Normale"/>
    <w:uiPriority w:val="98"/>
    <w:semiHidden/>
    <w:rsid w:val="008008B8"/>
    <w:pPr>
      <w:spacing w:after="120"/>
      <w:ind w:left="566"/>
      <w:contextualSpacing/>
    </w:pPr>
  </w:style>
  <w:style w:type="paragraph" w:styleId="Elencocontinua3">
    <w:name w:val="List Continue 3"/>
    <w:basedOn w:val="Normale"/>
    <w:uiPriority w:val="98"/>
    <w:semiHidden/>
    <w:rsid w:val="008008B8"/>
    <w:pPr>
      <w:spacing w:after="120"/>
      <w:ind w:left="849"/>
      <w:contextualSpacing/>
    </w:pPr>
  </w:style>
  <w:style w:type="paragraph" w:styleId="Elencocontinua4">
    <w:name w:val="List Continue 4"/>
    <w:basedOn w:val="Normale"/>
    <w:uiPriority w:val="98"/>
    <w:semiHidden/>
    <w:rsid w:val="008008B8"/>
    <w:pPr>
      <w:spacing w:after="120"/>
      <w:ind w:left="1132"/>
      <w:contextualSpacing/>
    </w:pPr>
  </w:style>
  <w:style w:type="paragraph" w:styleId="Elencocontinua5">
    <w:name w:val="List Continue 5"/>
    <w:basedOn w:val="Normale"/>
    <w:uiPriority w:val="98"/>
    <w:semiHidden/>
    <w:rsid w:val="008008B8"/>
    <w:pPr>
      <w:spacing w:after="120"/>
      <w:ind w:left="1415"/>
      <w:contextualSpacing/>
    </w:pPr>
  </w:style>
  <w:style w:type="paragraph" w:styleId="Numeroelenco">
    <w:name w:val="List Number"/>
    <w:basedOn w:val="Normale"/>
    <w:uiPriority w:val="98"/>
    <w:semiHidden/>
    <w:rsid w:val="008008B8"/>
    <w:pPr>
      <w:numPr>
        <w:numId w:val="18"/>
      </w:numPr>
      <w:contextualSpacing/>
    </w:pPr>
  </w:style>
  <w:style w:type="paragraph" w:styleId="Numeroelenco2">
    <w:name w:val="List Number 2"/>
    <w:basedOn w:val="Normale"/>
    <w:uiPriority w:val="98"/>
    <w:semiHidden/>
    <w:rsid w:val="008008B8"/>
    <w:pPr>
      <w:numPr>
        <w:numId w:val="19"/>
      </w:numPr>
      <w:contextualSpacing/>
    </w:pPr>
  </w:style>
  <w:style w:type="paragraph" w:styleId="Numeroelenco3">
    <w:name w:val="List Number 3"/>
    <w:basedOn w:val="Normale"/>
    <w:uiPriority w:val="98"/>
    <w:semiHidden/>
    <w:rsid w:val="008008B8"/>
    <w:pPr>
      <w:numPr>
        <w:numId w:val="20"/>
      </w:numPr>
      <w:contextualSpacing/>
    </w:pPr>
  </w:style>
  <w:style w:type="paragraph" w:styleId="Numeroelenco4">
    <w:name w:val="List Number 4"/>
    <w:basedOn w:val="Normale"/>
    <w:uiPriority w:val="98"/>
    <w:semiHidden/>
    <w:rsid w:val="008008B8"/>
    <w:pPr>
      <w:numPr>
        <w:numId w:val="21"/>
      </w:numPr>
      <w:contextualSpacing/>
    </w:pPr>
  </w:style>
  <w:style w:type="paragraph" w:styleId="Numeroelenco5">
    <w:name w:val="List Number 5"/>
    <w:basedOn w:val="Normale"/>
    <w:uiPriority w:val="98"/>
    <w:semiHidden/>
    <w:rsid w:val="008008B8"/>
    <w:pPr>
      <w:numPr>
        <w:numId w:val="22"/>
      </w:numPr>
      <w:contextualSpacing/>
    </w:pPr>
  </w:style>
  <w:style w:type="paragraph" w:styleId="Testomacro">
    <w:name w:val="macro"/>
    <w:link w:val="TestomacroCarattere"/>
    <w:uiPriority w:val="98"/>
    <w:semiHidden/>
    <w:rsid w:val="008008B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8008B8"/>
    <w:rPr>
      <w:rFonts w:ascii="Consolas" w:eastAsiaTheme="minorEastAsia" w:hAnsi="Consolas" w:cs="Consolas"/>
      <w:sz w:val="20"/>
      <w:szCs w:val="20"/>
    </w:rPr>
  </w:style>
  <w:style w:type="table" w:styleId="Grigliamedia1">
    <w:name w:val="Medium Grid 1"/>
    <w:basedOn w:val="Tabellanormale"/>
    <w:uiPriority w:val="67"/>
    <w:semiHidden/>
    <w:rsid w:val="008008B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8008B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8008B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8008B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8008B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8008B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8008B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8008B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8008B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8008B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8008B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8008B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8008B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8008B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8008B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8008B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8008B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8008B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8008B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8008B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8008B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8008B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8008B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8008B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8008B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8008B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8008B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8008B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8008B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8008B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8008B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8008B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8008B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8008B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8008B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8008B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8008B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8008B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8008B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8008B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8008B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8008B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8008B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8008B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8008B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8008B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8008B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8008B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8008B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8008B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8008B8"/>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8008B8"/>
    <w:rPr>
      <w:rFonts w:ascii="Times New Roman" w:hAnsi="Times New Roman" w:cs="Times New Roman"/>
    </w:rPr>
  </w:style>
  <w:style w:type="paragraph" w:styleId="Rientronormale">
    <w:name w:val="Normal Indent"/>
    <w:basedOn w:val="Normale"/>
    <w:uiPriority w:val="98"/>
    <w:semiHidden/>
    <w:rsid w:val="008008B8"/>
    <w:pPr>
      <w:ind w:left="720"/>
    </w:pPr>
  </w:style>
  <w:style w:type="paragraph" w:styleId="Intestazionenota">
    <w:name w:val="Note Heading"/>
    <w:basedOn w:val="Normale"/>
    <w:next w:val="Normale"/>
    <w:link w:val="IntestazionenotaCarattere"/>
    <w:uiPriority w:val="98"/>
    <w:semiHidden/>
    <w:rsid w:val="008008B8"/>
  </w:style>
  <w:style w:type="character" w:customStyle="1" w:styleId="IntestazionenotaCarattere">
    <w:name w:val="Intestazione nota Carattere"/>
    <w:basedOn w:val="Carpredefinitoparagrafo"/>
    <w:link w:val="Intestazionenota"/>
    <w:uiPriority w:val="98"/>
    <w:semiHidden/>
    <w:rsid w:val="008008B8"/>
    <w:rPr>
      <w:sz w:val="24"/>
      <w:szCs w:val="24"/>
      <w:lang w:val="fr-FR"/>
    </w:rPr>
  </w:style>
  <w:style w:type="character" w:styleId="Testosegnaposto">
    <w:name w:val="Placeholder Text"/>
    <w:basedOn w:val="Carpredefinitoparagrafo"/>
    <w:uiPriority w:val="98"/>
    <w:semiHidden/>
    <w:rsid w:val="008008B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8008B8"/>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8008B8"/>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8008B8"/>
  </w:style>
  <w:style w:type="character" w:customStyle="1" w:styleId="FormuladiaperturaCarattere">
    <w:name w:val="Formula di apertura Carattere"/>
    <w:basedOn w:val="Carpredefinitoparagrafo"/>
    <w:link w:val="Formuladiapertura"/>
    <w:uiPriority w:val="98"/>
    <w:semiHidden/>
    <w:rsid w:val="008008B8"/>
    <w:rPr>
      <w:sz w:val="24"/>
      <w:szCs w:val="24"/>
      <w:lang w:val="fr-FR"/>
    </w:rPr>
  </w:style>
  <w:style w:type="paragraph" w:styleId="Firma">
    <w:name w:val="Signature"/>
    <w:basedOn w:val="Normale"/>
    <w:link w:val="FirmaCarattere"/>
    <w:uiPriority w:val="98"/>
    <w:semiHidden/>
    <w:rsid w:val="008008B8"/>
    <w:pPr>
      <w:ind w:left="4252"/>
    </w:pPr>
  </w:style>
  <w:style w:type="character" w:customStyle="1" w:styleId="FirmaCarattere">
    <w:name w:val="Firma Carattere"/>
    <w:basedOn w:val="Carpredefinitoparagrafo"/>
    <w:link w:val="Firma"/>
    <w:uiPriority w:val="98"/>
    <w:semiHidden/>
    <w:rsid w:val="008008B8"/>
    <w:rPr>
      <w:sz w:val="24"/>
      <w:szCs w:val="24"/>
      <w:lang w:val="fr-FR"/>
    </w:rPr>
  </w:style>
  <w:style w:type="table" w:styleId="Tabellaeffetti3D1">
    <w:name w:val="Table 3D effects 1"/>
    <w:basedOn w:val="Tabellanormale"/>
    <w:uiPriority w:val="99"/>
    <w:semiHidden/>
    <w:unhideWhenUsed/>
    <w:rsid w:val="008008B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8008B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8008B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8008B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8008B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8008B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8008B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8008B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8008B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8008B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8008B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8008B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8008B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8008B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8008B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8008B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8008B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8008B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8008B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8008B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8008B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8008B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8008B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8008B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8008B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8008B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8008B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8008B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8008B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8008B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8008B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8008B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8008B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8008B8"/>
    <w:pPr>
      <w:ind w:left="240" w:hanging="240"/>
    </w:pPr>
  </w:style>
  <w:style w:type="paragraph" w:styleId="Indicedellefigure">
    <w:name w:val="table of figures"/>
    <w:basedOn w:val="Normale"/>
    <w:next w:val="Normale"/>
    <w:uiPriority w:val="98"/>
    <w:semiHidden/>
    <w:rsid w:val="008008B8"/>
  </w:style>
  <w:style w:type="table" w:styleId="Tabellaprofessionale">
    <w:name w:val="Table Professional"/>
    <w:basedOn w:val="Tabellanormale"/>
    <w:uiPriority w:val="99"/>
    <w:semiHidden/>
    <w:unhideWhenUsed/>
    <w:rsid w:val="008008B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8008B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8008B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8008B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8008B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8008B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8008B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8008B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8008B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8008B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8008B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8008B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8008B8"/>
    <w:pPr>
      <w:spacing w:after="100"/>
      <w:ind w:left="1680"/>
    </w:pPr>
  </w:style>
  <w:style w:type="paragraph" w:styleId="Sommario9">
    <w:name w:val="toc 9"/>
    <w:basedOn w:val="Normale"/>
    <w:next w:val="Normale"/>
    <w:autoRedefine/>
    <w:uiPriority w:val="98"/>
    <w:semiHidden/>
    <w:rsid w:val="008008B8"/>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8008B8"/>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8008B8"/>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8008B8"/>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8008B8"/>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8008B8"/>
    <w:pPr>
      <w:numPr>
        <w:numId w:val="10"/>
      </w:numPr>
      <w:spacing w:before="60" w:after="60"/>
    </w:pPr>
  </w:style>
  <w:style w:type="paragraph" w:customStyle="1" w:styleId="ECHRBullet2">
    <w:name w:val="ECHR_Bullet_2"/>
    <w:aliases w:val="_Bul_2"/>
    <w:basedOn w:val="ECHRBullet1"/>
    <w:uiPriority w:val="23"/>
    <w:semiHidden/>
    <w:rsid w:val="008008B8"/>
    <w:pPr>
      <w:numPr>
        <w:ilvl w:val="1"/>
      </w:numPr>
    </w:pPr>
  </w:style>
  <w:style w:type="paragraph" w:customStyle="1" w:styleId="ECHRBullet3">
    <w:name w:val="ECHR_Bullet_3"/>
    <w:aliases w:val="_Bul_3"/>
    <w:basedOn w:val="ECHRBullet2"/>
    <w:uiPriority w:val="23"/>
    <w:semiHidden/>
    <w:rsid w:val="008008B8"/>
    <w:pPr>
      <w:numPr>
        <w:ilvl w:val="2"/>
      </w:numPr>
    </w:pPr>
  </w:style>
  <w:style w:type="paragraph" w:customStyle="1" w:styleId="ECHRBullet4">
    <w:name w:val="ECHR_Bullet_4"/>
    <w:aliases w:val="_Bul_4"/>
    <w:basedOn w:val="ECHRBullet3"/>
    <w:uiPriority w:val="23"/>
    <w:semiHidden/>
    <w:rsid w:val="008008B8"/>
    <w:pPr>
      <w:numPr>
        <w:ilvl w:val="3"/>
      </w:numPr>
    </w:pPr>
  </w:style>
  <w:style w:type="paragraph" w:customStyle="1" w:styleId="ECHRConfidential">
    <w:name w:val="ECHR_Confidential"/>
    <w:aliases w:val="_Confidential"/>
    <w:basedOn w:val="Normale"/>
    <w:next w:val="Normale"/>
    <w:uiPriority w:val="42"/>
    <w:semiHidden/>
    <w:qFormat/>
    <w:rsid w:val="008008B8"/>
    <w:pPr>
      <w:jc w:val="right"/>
    </w:pPr>
    <w:rPr>
      <w:color w:val="C00000"/>
      <w:sz w:val="20"/>
    </w:rPr>
  </w:style>
  <w:style w:type="paragraph" w:customStyle="1" w:styleId="ECHRDecisionBody">
    <w:name w:val="ECHR_Decision_Body"/>
    <w:aliases w:val="_Decision_Body"/>
    <w:basedOn w:val="NormalJustified"/>
    <w:uiPriority w:val="54"/>
    <w:semiHidden/>
    <w:rsid w:val="008008B8"/>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8008B8"/>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8008B8"/>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8008B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8008B8"/>
    <w:pPr>
      <w:jc w:val="right"/>
    </w:pPr>
    <w:rPr>
      <w:sz w:val="20"/>
    </w:rPr>
  </w:style>
  <w:style w:type="paragraph" w:customStyle="1" w:styleId="ECHRHeaderRefIt">
    <w:name w:val="ECHR_Header_Ref_It"/>
    <w:aliases w:val="_Ref_Ital"/>
    <w:basedOn w:val="Normale"/>
    <w:next w:val="ECHRHeaderDate"/>
    <w:uiPriority w:val="43"/>
    <w:qFormat/>
    <w:rsid w:val="008008B8"/>
    <w:pPr>
      <w:jc w:val="right"/>
    </w:pPr>
    <w:rPr>
      <w:i/>
      <w:sz w:val="20"/>
    </w:rPr>
  </w:style>
  <w:style w:type="paragraph" w:customStyle="1" w:styleId="ECHRHeading9">
    <w:name w:val="ECHR_Heading_9"/>
    <w:aliases w:val="_Head_9"/>
    <w:basedOn w:val="Titolo9"/>
    <w:uiPriority w:val="17"/>
    <w:semiHidden/>
    <w:rsid w:val="008008B8"/>
    <w:pPr>
      <w:keepNext/>
      <w:keepLines/>
      <w:numPr>
        <w:ilvl w:val="8"/>
        <w:numId w:val="6"/>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8008B8"/>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8008B8"/>
    <w:pPr>
      <w:numPr>
        <w:numId w:val="12"/>
      </w:numPr>
      <w:spacing w:before="60" w:after="60"/>
    </w:pPr>
  </w:style>
  <w:style w:type="paragraph" w:customStyle="1" w:styleId="ECHRNumberedList2">
    <w:name w:val="ECHR_Numbered_List_2"/>
    <w:aliases w:val="_Num_2"/>
    <w:basedOn w:val="ECHRNumberedList1"/>
    <w:uiPriority w:val="23"/>
    <w:semiHidden/>
    <w:rsid w:val="008008B8"/>
    <w:pPr>
      <w:numPr>
        <w:ilvl w:val="1"/>
      </w:numPr>
    </w:pPr>
  </w:style>
  <w:style w:type="paragraph" w:customStyle="1" w:styleId="ECHRNumberedList3">
    <w:name w:val="ECHR_Numbered_List_3"/>
    <w:aliases w:val="_Num_3"/>
    <w:basedOn w:val="ECHRNumberedList2"/>
    <w:uiPriority w:val="23"/>
    <w:semiHidden/>
    <w:rsid w:val="008008B8"/>
    <w:pPr>
      <w:numPr>
        <w:ilvl w:val="2"/>
      </w:numPr>
    </w:pPr>
  </w:style>
  <w:style w:type="paragraph" w:customStyle="1" w:styleId="ECHRParaHanging">
    <w:name w:val="ECHR_Para_Hanging"/>
    <w:aliases w:val="_Hanging"/>
    <w:basedOn w:val="NormalJustified"/>
    <w:uiPriority w:val="8"/>
    <w:semiHidden/>
    <w:qFormat/>
    <w:rsid w:val="008008B8"/>
    <w:pPr>
      <w:ind w:left="567" w:hanging="567"/>
    </w:pPr>
  </w:style>
  <w:style w:type="paragraph" w:customStyle="1" w:styleId="ECHRParaIndent">
    <w:name w:val="ECHR_Para_Indent"/>
    <w:aliases w:val="_Indent"/>
    <w:basedOn w:val="NormalJustified"/>
    <w:uiPriority w:val="7"/>
    <w:semiHidden/>
    <w:qFormat/>
    <w:rsid w:val="008008B8"/>
    <w:pPr>
      <w:spacing w:before="120" w:after="120"/>
      <w:ind w:left="567"/>
    </w:pPr>
  </w:style>
  <w:style w:type="character" w:customStyle="1" w:styleId="ECHRRed">
    <w:name w:val="ECHR_Red"/>
    <w:aliases w:val="_Red"/>
    <w:basedOn w:val="Carpredefinitoparagrafo"/>
    <w:uiPriority w:val="15"/>
    <w:semiHidden/>
    <w:qFormat/>
    <w:rsid w:val="008008B8"/>
    <w:rPr>
      <w:color w:val="C00000" w:themeColor="accent2"/>
    </w:rPr>
  </w:style>
  <w:style w:type="paragraph" w:customStyle="1" w:styleId="DecList">
    <w:name w:val="Dec_List"/>
    <w:aliases w:val="_List"/>
    <w:basedOn w:val="JuList"/>
    <w:uiPriority w:val="22"/>
    <w:rsid w:val="008008B8"/>
    <w:pPr>
      <w:numPr>
        <w:numId w:val="0"/>
      </w:numPr>
      <w:ind w:left="284"/>
    </w:pPr>
  </w:style>
  <w:style w:type="table" w:customStyle="1" w:styleId="ECHRTable2">
    <w:name w:val="ECHR_Table_2"/>
    <w:basedOn w:val="Tabellanormale"/>
    <w:uiPriority w:val="99"/>
    <w:rsid w:val="008008B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8008B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8008B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8008B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8008B8"/>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8008B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8008B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8008B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8008B8"/>
    <w:pPr>
      <w:outlineLvl w:val="0"/>
    </w:pPr>
  </w:style>
  <w:style w:type="paragraph" w:customStyle="1" w:styleId="ECHRTitleTOC1">
    <w:name w:val="ECHR_Title_TOC_1"/>
    <w:aliases w:val="_Title_L_TOC"/>
    <w:basedOn w:val="ECHRTitle1"/>
    <w:next w:val="Normale"/>
    <w:uiPriority w:val="27"/>
    <w:semiHidden/>
    <w:qFormat/>
    <w:rsid w:val="008008B8"/>
    <w:pPr>
      <w:outlineLvl w:val="0"/>
    </w:pPr>
  </w:style>
  <w:style w:type="paragraph" w:customStyle="1" w:styleId="ECHRPlaceholder">
    <w:name w:val="ECHR_Placeholder"/>
    <w:aliases w:val="_Placeholder"/>
    <w:basedOn w:val="JuSigned"/>
    <w:uiPriority w:val="31"/>
    <w:rsid w:val="008008B8"/>
    <w:rPr>
      <w:color w:val="FFFFFF"/>
    </w:rPr>
  </w:style>
  <w:style w:type="paragraph" w:customStyle="1" w:styleId="ECHRSpacer">
    <w:name w:val="ECHR_Spacer"/>
    <w:aliases w:val="_Spacer"/>
    <w:basedOn w:val="Normale"/>
    <w:uiPriority w:val="45"/>
    <w:semiHidden/>
    <w:rsid w:val="008008B8"/>
    <w:rPr>
      <w:sz w:val="4"/>
    </w:rPr>
  </w:style>
  <w:style w:type="table" w:customStyle="1" w:styleId="ECHRTableGrey">
    <w:name w:val="ECHR_Table_Grey"/>
    <w:basedOn w:val="Tabellanormale"/>
    <w:uiPriority w:val="99"/>
    <w:rsid w:val="008008B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884261"/>
    <w:rPr>
      <w:color w:val="605E5C"/>
      <w:shd w:val="clear" w:color="auto" w:fill="E1DFDD"/>
    </w:rPr>
  </w:style>
  <w:style w:type="character" w:customStyle="1" w:styleId="JuParaChar">
    <w:name w:val="Ju_Para Char"/>
    <w:aliases w:val="_Para Char"/>
    <w:link w:val="JuPara"/>
    <w:uiPriority w:val="4"/>
    <w:rsid w:val="00AB3CE0"/>
    <w:rPr>
      <w:sz w:val="24"/>
      <w:szCs w:val="24"/>
      <w:lang w:val="fr-FR"/>
    </w:rPr>
  </w:style>
  <w:style w:type="character" w:customStyle="1" w:styleId="JuNames0">
    <w:name w:val="Ju_Names"/>
    <w:rsid w:val="00AB3CE0"/>
    <w:rPr>
      <w:smallCaps/>
    </w:rPr>
  </w:style>
  <w:style w:type="paragraph" w:customStyle="1" w:styleId="JuList4">
    <w:name w:val="Ju_List_4"/>
    <w:aliases w:val="N_Bul_4"/>
    <w:basedOn w:val="JuListi"/>
    <w:uiPriority w:val="19"/>
    <w:rsid w:val="00AB3CE0"/>
    <w:pPr>
      <w:numPr>
        <w:ilvl w:val="0"/>
        <w:numId w:val="0"/>
      </w:numPr>
      <w:tabs>
        <w:tab w:val="num" w:pos="1701"/>
      </w:tabs>
      <w:spacing w:before="60" w:after="60" w:line="240" w:lineRule="exact"/>
      <w:ind w:left="1703" w:hanging="284"/>
      <w:contextualSpacing/>
    </w:pPr>
    <w:rPr>
      <w:sz w:val="22"/>
      <w:lang w:eastAsia="fr-FR"/>
    </w:rPr>
  </w:style>
  <w:style w:type="character" w:customStyle="1" w:styleId="ju-005fpara--char">
    <w:name w:val="ju-005fpara--char"/>
    <w:basedOn w:val="Carpredefinitoparagrafo"/>
    <w:rsid w:val="00AB3CE0"/>
  </w:style>
  <w:style w:type="character" w:customStyle="1" w:styleId="ju--005fpara----char--char">
    <w:name w:val="ju--005fpara----char--char"/>
    <w:basedOn w:val="Carpredefinitoparagrafo"/>
    <w:rsid w:val="00AB3CE0"/>
  </w:style>
  <w:style w:type="table" w:styleId="Tabellagriglia1chiara">
    <w:name w:val="Grid Table 1 Light"/>
    <w:basedOn w:val="Tabellanormale"/>
    <w:uiPriority w:val="46"/>
    <w:semiHidden/>
    <w:rsid w:val="00AB3C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AB3CE0"/>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AB3CE0"/>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AB3CE0"/>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AB3CE0"/>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AB3CE0"/>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AB3CE0"/>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AB3CE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AB3CE0"/>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AB3CE0"/>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AB3CE0"/>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AB3CE0"/>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AB3CE0"/>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AB3CE0"/>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AB3CE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AB3CE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AB3CE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AB3CE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AB3CE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AB3CE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AB3CE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AB3CE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AB3CE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AB3CE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AB3CE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AB3CE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AB3CE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AB3CE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AB3CE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AB3CE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AB3CE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AB3CE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AB3CE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AB3CE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AB3CE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AB3CE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AB3CE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AB3CE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AB3CE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AB3CE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AB3CE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AB3CE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AB3CE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AB3CE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AB3CE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AB3CE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AB3CE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AB3CE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AB3CE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AB3CE0"/>
    <w:rPr>
      <w:color w:val="2B579A"/>
      <w:shd w:val="clear" w:color="auto" w:fill="E1DFDD"/>
    </w:rPr>
  </w:style>
  <w:style w:type="table" w:styleId="Tabellaelenco1chiara">
    <w:name w:val="List Table 1 Light"/>
    <w:basedOn w:val="Tabellanormale"/>
    <w:uiPriority w:val="46"/>
    <w:semiHidden/>
    <w:rsid w:val="00AB3CE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AB3CE0"/>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AB3CE0"/>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AB3CE0"/>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AB3CE0"/>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AB3CE0"/>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AB3CE0"/>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AB3CE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AB3CE0"/>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AB3CE0"/>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AB3CE0"/>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AB3CE0"/>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AB3CE0"/>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AB3CE0"/>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AB3CE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AB3CE0"/>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AB3CE0"/>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AB3CE0"/>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AB3CE0"/>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AB3CE0"/>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AB3CE0"/>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AB3CE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AB3CE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AB3CE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AB3CE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AB3CE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AB3CE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AB3CE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AB3CE0"/>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AB3CE0"/>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AB3CE0"/>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AB3CE0"/>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AB3CE0"/>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AB3CE0"/>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AB3CE0"/>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AB3CE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AB3CE0"/>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AB3CE0"/>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AB3CE0"/>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AB3CE0"/>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AB3CE0"/>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AB3CE0"/>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AB3CE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AB3CE0"/>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AB3CE0"/>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AB3CE0"/>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AB3CE0"/>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AB3CE0"/>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AB3CE0"/>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AB3CE0"/>
    <w:rPr>
      <w:color w:val="2B579A"/>
      <w:shd w:val="clear" w:color="auto" w:fill="E1DFDD"/>
    </w:rPr>
  </w:style>
  <w:style w:type="table" w:styleId="Tabellasemplice-1">
    <w:name w:val="Plain Table 1"/>
    <w:basedOn w:val="Tabellanormale"/>
    <w:uiPriority w:val="41"/>
    <w:semiHidden/>
    <w:rsid w:val="00AB3CE0"/>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AB3CE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AB3CE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AB3CE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AB3CE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AB3CE0"/>
    <w:rPr>
      <w:u w:val="dotted"/>
    </w:rPr>
  </w:style>
  <w:style w:type="character" w:customStyle="1" w:styleId="SmartLink">
    <w:name w:val="Smart Link"/>
    <w:basedOn w:val="Carpredefinitoparagrafo"/>
    <w:uiPriority w:val="99"/>
    <w:semiHidden/>
    <w:unhideWhenUsed/>
    <w:rsid w:val="00AB3CE0"/>
    <w:rPr>
      <w:color w:val="0000FF"/>
      <w:u w:val="single"/>
      <w:shd w:val="clear" w:color="auto" w:fill="F3F2F1"/>
    </w:rPr>
  </w:style>
  <w:style w:type="table" w:styleId="Grigliatabellachiara">
    <w:name w:val="Grid Table Light"/>
    <w:basedOn w:val="Tabellanormale"/>
    <w:uiPriority w:val="40"/>
    <w:semiHidden/>
    <w:rsid w:val="00AB3CE0"/>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C7B31-7382-43BC-A941-09C7491E40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99DE0C-5F47-4654-A9E7-13848F4797BD}">
  <ds:schemaRefs>
    <ds:schemaRef ds:uri="http://schemas.microsoft.com/sharepoint/v3/contenttype/forms"/>
  </ds:schemaRefs>
</ds:datastoreItem>
</file>

<file path=customXml/itemProps3.xml><?xml version="1.0" encoding="utf-8"?>
<ds:datastoreItem xmlns:ds="http://schemas.openxmlformats.org/officeDocument/2006/customXml" ds:itemID="{8D945FCB-5286-4805-B491-A43562718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D41134-68BA-41B7-ADFC-662878D4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4317</Words>
  <Characters>24612</Characters>
  <Application>Microsoft Office Word</Application>
  <DocSecurity>0</DocSecurity>
  <Lines>205</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2022-06-08T07:53:00Z</dcterms:created>
  <dcterms:modified xsi:type="dcterms:W3CDTF">2022-06-08T07:53:00Z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15566/13</vt:lpwstr>
  </property>
  <property fmtid="{D5CDD505-2E9C-101B-9397-08002B2CF9AE}" pid="4" name="CASEID">
    <vt:lpwstr>866054</vt:lpwstr>
  </property>
  <property fmtid="{D5CDD505-2E9C-101B-9397-08002B2CF9AE}" pid="5" name="ContentTypeId">
    <vt:lpwstr>0x010100558EB02BDB9E204AB350EDD385B68E10</vt:lpwstr>
  </property>
</Properties>
</file>